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D3403" w:rsidRDefault="009D3403">
      <w:pPr>
        <w:spacing w:line="480" w:lineRule="auto"/>
        <w:rPr>
          <w:color w:val="000000"/>
        </w:rPr>
      </w:pPr>
    </w:p>
    <w:p w14:paraId="00000002" w14:textId="77777777" w:rsidR="009D3403" w:rsidRDefault="00000000">
      <w:pPr>
        <w:spacing w:line="480" w:lineRule="auto"/>
        <w:jc w:val="center"/>
        <w:rPr>
          <w:color w:val="000000"/>
          <w:sz w:val="28"/>
          <w:szCs w:val="28"/>
        </w:rPr>
      </w:pPr>
      <w:r>
        <w:rPr>
          <w:color w:val="000000"/>
          <w:sz w:val="28"/>
          <w:szCs w:val="28"/>
        </w:rPr>
        <w:t xml:space="preserve">Ch. </w:t>
      </w:r>
      <w:r>
        <w:rPr>
          <w:sz w:val="28"/>
          <w:szCs w:val="28"/>
        </w:rPr>
        <w:t>3</w:t>
      </w:r>
      <w:r>
        <w:rPr>
          <w:color w:val="000000"/>
          <w:sz w:val="28"/>
          <w:szCs w:val="28"/>
        </w:rPr>
        <w:t xml:space="preserve">  </w:t>
      </w:r>
    </w:p>
    <w:p w14:paraId="00000003" w14:textId="77777777" w:rsidR="009D3403" w:rsidRDefault="00000000">
      <w:pPr>
        <w:spacing w:line="480" w:lineRule="auto"/>
        <w:jc w:val="center"/>
        <w:rPr>
          <w:i/>
          <w:iCs/>
          <w:color w:val="000000"/>
          <w:sz w:val="28"/>
          <w:szCs w:val="28"/>
        </w:rPr>
      </w:pPr>
      <w:r>
        <w:rPr>
          <w:color w:val="000000"/>
          <w:sz w:val="28"/>
          <w:szCs w:val="28"/>
        </w:rPr>
        <w:t xml:space="preserve">Murderous Misogyny: The Overturning of </w:t>
      </w:r>
      <w:r>
        <w:rPr>
          <w:i/>
          <w:iCs/>
          <w:color w:val="000000"/>
          <w:sz w:val="28"/>
          <w:szCs w:val="28"/>
        </w:rPr>
        <w:t>Roe</w:t>
      </w:r>
    </w:p>
    <w:p w14:paraId="00000004" w14:textId="77777777" w:rsidR="009D3403" w:rsidRDefault="00000000">
      <w:pPr>
        <w:spacing w:line="480" w:lineRule="auto"/>
        <w:jc w:val="center"/>
        <w:rPr>
          <w:color w:val="000000"/>
          <w:sz w:val="28"/>
          <w:szCs w:val="28"/>
        </w:rPr>
      </w:pPr>
      <w:r>
        <w:rPr>
          <w:color w:val="000000"/>
          <w:sz w:val="28"/>
          <w:szCs w:val="28"/>
        </w:rPr>
        <w:t>By Lynne Zeavin and Lynn Paltrow</w:t>
      </w:r>
    </w:p>
    <w:p w14:paraId="00000005" w14:textId="77777777" w:rsidR="009D3403" w:rsidRDefault="009D3403">
      <w:pPr>
        <w:spacing w:line="480" w:lineRule="auto"/>
        <w:rPr>
          <w:color w:val="000000"/>
        </w:rPr>
      </w:pPr>
    </w:p>
    <w:p w14:paraId="00000006" w14:textId="77777777" w:rsidR="009D3403" w:rsidRDefault="00000000">
      <w:pPr>
        <w:spacing w:line="480" w:lineRule="auto"/>
        <w:rPr>
          <w:color w:val="000000"/>
          <w:vertAlign w:val="superscript"/>
        </w:rPr>
      </w:pPr>
      <w:r>
        <w:rPr>
          <w:color w:val="000000"/>
        </w:rPr>
        <w:t xml:space="preserve">In her 2017 commentary </w:t>
      </w:r>
      <w:r>
        <w:rPr>
          <w:i/>
          <w:iCs/>
          <w:color w:val="000000"/>
        </w:rPr>
        <w:t>Mobilizing Misogyny</w:t>
      </w:r>
      <w:r>
        <w:rPr>
          <w:color w:val="000000"/>
        </w:rPr>
        <w:t>, Alex DiBranco writes: “Trump’s campaign distinguished itself from those of other Republican candidates by its attacks on women: regularly insulting women’s appearances or behavior and defending physical and sexual harassment and violence against them.”</w:t>
      </w:r>
      <w:r>
        <w:rPr>
          <w:color w:val="000000"/>
          <w:vertAlign w:val="superscript"/>
        </w:rPr>
        <w:t xml:space="preserve">   </w:t>
      </w:r>
    </w:p>
    <w:p w14:paraId="00000007" w14:textId="77777777" w:rsidR="009D3403" w:rsidRDefault="00000000">
      <w:pPr>
        <w:spacing w:line="480" w:lineRule="auto"/>
        <w:ind w:firstLine="720"/>
        <w:rPr>
          <w:color w:val="000000"/>
        </w:rPr>
      </w:pPr>
      <w:r>
        <w:rPr>
          <w:color w:val="000000"/>
        </w:rPr>
        <w:t xml:space="preserve">In 2022, the United States Supreme Court issued the </w:t>
      </w:r>
      <w:r>
        <w:rPr>
          <w:i/>
          <w:iCs/>
          <w:color w:val="000000"/>
        </w:rPr>
        <w:t>Dobbs</w:t>
      </w:r>
      <w:r>
        <w:rPr>
          <w:color w:val="000000"/>
        </w:rPr>
        <w:t xml:space="preserve"> decision which overturned </w:t>
      </w:r>
      <w:r>
        <w:rPr>
          <w:i/>
          <w:iCs/>
          <w:color w:val="000000"/>
        </w:rPr>
        <w:t>Roe v. Wade</w:t>
      </w:r>
      <w:r>
        <w:rPr>
          <w:color w:val="000000"/>
        </w:rPr>
        <w:t xml:space="preserve"> (1973) and erased the constitutional guarantee to legal abortion that had been recognized for nearly half a century. Using psychoanalytic and legal perspectives, this essay examines the impacts of overturning </w:t>
      </w:r>
      <w:r>
        <w:rPr>
          <w:i/>
          <w:iCs/>
          <w:color w:val="000000"/>
        </w:rPr>
        <w:t>Roe</w:t>
      </w:r>
      <w:r>
        <w:rPr>
          <w:color w:val="000000"/>
        </w:rPr>
        <w:t xml:space="preserve"> beyond the issue of abortion itself. It addresses the misogyny underlying and advanced by this decision, with particular attention to how attacks on abortion, before and after </w:t>
      </w:r>
      <w:r>
        <w:rPr>
          <w:i/>
          <w:iCs/>
          <w:color w:val="000000"/>
        </w:rPr>
        <w:t>Dobbs</w:t>
      </w:r>
      <w:r>
        <w:rPr>
          <w:color w:val="000000"/>
        </w:rPr>
        <w:t xml:space="preserve">, have steadily eroded recognition of women as persons entitled to life, liberty, and physical and mental health. </w:t>
      </w:r>
    </w:p>
    <w:p w14:paraId="00000008" w14:textId="77777777" w:rsidR="009D3403" w:rsidRDefault="009D3403">
      <w:pPr>
        <w:spacing w:line="480" w:lineRule="auto"/>
        <w:ind w:firstLine="720"/>
        <w:rPr>
          <w:color w:val="000000"/>
        </w:rPr>
      </w:pPr>
    </w:p>
    <w:p w14:paraId="00000009" w14:textId="77777777" w:rsidR="009D3403" w:rsidRDefault="00000000">
      <w:pPr>
        <w:spacing w:line="480" w:lineRule="auto"/>
        <w:rPr>
          <w:b/>
          <w:bCs/>
          <w:color w:val="000000"/>
          <w:vertAlign w:val="superscript"/>
        </w:rPr>
      </w:pPr>
      <w:r>
        <w:rPr>
          <w:b/>
          <w:bCs/>
          <w:color w:val="000000"/>
        </w:rPr>
        <w:t>Misogyny at the highest levels of government</w:t>
      </w:r>
    </w:p>
    <w:p w14:paraId="0000000A" w14:textId="77777777" w:rsidR="009D3403" w:rsidRDefault="00000000">
      <w:pPr>
        <w:spacing w:line="480" w:lineRule="auto"/>
        <w:rPr>
          <w:color w:val="000000"/>
        </w:rPr>
      </w:pPr>
      <w:r>
        <w:rPr>
          <w:color w:val="000000"/>
        </w:rPr>
        <w:t xml:space="preserve">Donald Trump has a long and sordid history of disparaging women. In his first Presidential term, he was determined to appoint Supreme Court justices who would overturn the landmark abortion ruling, </w:t>
      </w:r>
      <w:r>
        <w:rPr>
          <w:i/>
          <w:iCs/>
          <w:color w:val="000000"/>
        </w:rPr>
        <w:t>Roe v. Wade</w:t>
      </w:r>
      <w:r>
        <w:rPr>
          <w:color w:val="000000"/>
        </w:rPr>
        <w:t xml:space="preserve">, the decision that guaranteed legal abortion in the United States.  Various cabinet members have been credibly accused of sexual harassment, and he himself has now been held liable for sexual abuse.  Since his second Presidential term began in 2024, he has escalated </w:t>
      </w:r>
      <w:r>
        <w:rPr>
          <w:color w:val="000000"/>
        </w:rPr>
        <w:lastRenderedPageBreak/>
        <w:t>his verbal assaults on women. His disdain for women is now openly on display in his vile attacks on female journalists, whom he has disparaged, insulted, and aimed to silence as well as a defamation suit (</w:t>
      </w:r>
      <w:r>
        <w:rPr>
          <w:i/>
          <w:iCs/>
          <w:color w:val="000000"/>
        </w:rPr>
        <w:t>Carroll v. Trump</w:t>
      </w:r>
      <w:r>
        <w:rPr>
          <w:color w:val="000000"/>
        </w:rPr>
        <w:t xml:space="preserve">, 2023).  </w:t>
      </w:r>
    </w:p>
    <w:p w14:paraId="0000000B" w14:textId="77777777" w:rsidR="009D3403" w:rsidRDefault="00000000">
      <w:pPr>
        <w:spacing w:line="480" w:lineRule="auto"/>
        <w:ind w:firstLine="720"/>
        <w:rPr>
          <w:color w:val="000000"/>
        </w:rPr>
      </w:pPr>
      <w:r>
        <w:rPr>
          <w:color w:val="000000"/>
        </w:rPr>
        <w:t xml:space="preserve">For example, he made a nasty comment to a female journalist while aboard AirForce One in November 2025 when he stated, “Quiet Piggy.”  Most recently with respect to the Epstein scandal, he insulted Kaitlin Collins, a prominent young female  journalist at CNN,  by saying she “never smiles, and why doesn’t she smile?  Because she doesn’t tell the truth.”  Trump’s own form of “truth telling” is never in question; he projects his hatred of the truth into all of us:  we are part of an ongoing hoax; we are the ones immersed in falsehoods, playing a trick on him, aiming to deceive. We then are part of a topsy turvy world, a world where our divergent views of reality are turned on their heads, while his position of power is maintained at all costs. The women he denigrates, the “piggy” is each of us—each of us can identify with her and recognize the degradation.  Trump’s aim is both to attack our very sanity and to keep us in a delirium of overstimulation that he hopes will vitiate our attempts at effective resistance. This is what Steve Bannon aptly called ‘flooding the zone” in a 2018 letter to Michael Lewis. In this essay, we hope to make clear the links between this virulent misogyny expressed at the highest levels of power and the legal restrictions now floridly at play in the overturning of </w:t>
      </w:r>
      <w:r>
        <w:rPr>
          <w:i/>
          <w:iCs/>
          <w:color w:val="000000"/>
        </w:rPr>
        <w:t>Roe</w:t>
      </w:r>
      <w:r>
        <w:rPr>
          <w:color w:val="000000"/>
        </w:rPr>
        <w:t>.</w:t>
      </w:r>
    </w:p>
    <w:p w14:paraId="0000000C" w14:textId="77777777" w:rsidR="009D3403" w:rsidRDefault="009D3403">
      <w:pPr>
        <w:spacing w:line="480" w:lineRule="auto"/>
        <w:rPr>
          <w:b/>
          <w:bCs/>
          <w:color w:val="000000"/>
          <w:u w:val="single"/>
        </w:rPr>
      </w:pPr>
    </w:p>
    <w:p w14:paraId="0000000D" w14:textId="77777777" w:rsidR="009D3403" w:rsidRDefault="00000000">
      <w:pPr>
        <w:spacing w:line="480" w:lineRule="auto"/>
        <w:rPr>
          <w:b/>
          <w:bCs/>
          <w:color w:val="000000"/>
          <w:u w:val="single"/>
        </w:rPr>
      </w:pPr>
      <w:r>
        <w:rPr>
          <w:b/>
          <w:bCs/>
          <w:i/>
          <w:iCs/>
          <w:color w:val="000000"/>
          <w:u w:val="single"/>
        </w:rPr>
        <w:t>Roe</w:t>
      </w:r>
      <w:r>
        <w:rPr>
          <w:b/>
          <w:bCs/>
          <w:color w:val="000000"/>
          <w:u w:val="single"/>
        </w:rPr>
        <w:t xml:space="preserve"> and its impact beyond abortion</w:t>
      </w:r>
    </w:p>
    <w:p w14:paraId="0000000E" w14:textId="77777777" w:rsidR="009D3403" w:rsidRDefault="00000000">
      <w:pPr>
        <w:spacing w:line="480" w:lineRule="auto"/>
        <w:rPr>
          <w:color w:val="000000"/>
        </w:rPr>
      </w:pPr>
      <w:r>
        <w:rPr>
          <w:color w:val="000000"/>
        </w:rPr>
        <w:t xml:space="preserve">In 1973, following a relatively brief but intense period of advocacy, public education, and litigation challenging criminal abortion laws, the US Supreme Court recognized a fundamental right to choose abortion in the </w:t>
      </w:r>
      <w:r>
        <w:rPr>
          <w:i/>
          <w:iCs/>
          <w:color w:val="000000"/>
        </w:rPr>
        <w:t>Roe v. Wade</w:t>
      </w:r>
      <w:r>
        <w:rPr>
          <w:color w:val="000000"/>
        </w:rPr>
        <w:t xml:space="preserve"> decision. Each year, between 5 and 6 million human </w:t>
      </w:r>
      <w:r>
        <w:rPr>
          <w:color w:val="000000"/>
        </w:rPr>
        <w:lastRenderedPageBreak/>
        <w:t>beings in the US become pregnant (Guttmacher, 2025) and all of them beneﬁted from that landmark ruling.</w:t>
      </w:r>
    </w:p>
    <w:p w14:paraId="0000000F" w14:textId="77777777" w:rsidR="009D3403" w:rsidRDefault="00000000">
      <w:pPr>
        <w:spacing w:line="480" w:lineRule="auto"/>
        <w:ind w:firstLine="720"/>
        <w:rPr>
          <w:color w:val="000000"/>
        </w:rPr>
      </w:pPr>
      <w:r>
        <w:rPr>
          <w:color w:val="000000"/>
        </w:rPr>
        <w:t xml:space="preserve">For the nearly 50 years of its existence, the ruling in Roe provided significant protections to all women, not just those seeking to end their pregnancies. As a later US Supreme Court abortion case explained, </w:t>
      </w:r>
      <w:r>
        <w:rPr>
          <w:i/>
          <w:iCs/>
          <w:color w:val="000000"/>
        </w:rPr>
        <w:t>Roe</w:t>
      </w:r>
      <w:r>
        <w:rPr>
          <w:color w:val="000000"/>
        </w:rPr>
        <w:t xml:space="preserve"> not only protected the right to end a pregnancy, but it had also been “sensibly relied upon to counter” attempts to interfere with a woman’s decision to become pregnant and to carry her pregnancy to term (</w:t>
      </w:r>
      <w:r>
        <w:rPr>
          <w:i/>
          <w:iCs/>
          <w:color w:val="000000"/>
        </w:rPr>
        <w:t>Planned Parenthood of Southeastern Pennsylvania v. Casey</w:t>
      </w:r>
      <w:r>
        <w:rPr>
          <w:color w:val="000000"/>
        </w:rPr>
        <w:t>, 1992).</w:t>
      </w:r>
    </w:p>
    <w:p w14:paraId="00000010" w14:textId="77777777" w:rsidR="009D3403" w:rsidRDefault="00000000">
      <w:pPr>
        <w:spacing w:line="480" w:lineRule="auto"/>
        <w:ind w:firstLine="720"/>
        <w:rPr>
          <w:color w:val="000000"/>
        </w:rPr>
      </w:pPr>
      <w:r>
        <w:rPr>
          <w:color w:val="000000"/>
        </w:rPr>
        <w:t xml:space="preserve">By recognizing a woman’s right to make decisions about her own body even when pregnant, the Court took a giant step toward acknowledging women’s status as persons entitled to equal rights under the law. It required states – at least in the context of abortion - to prioritize women’s lives as well as both their physical and mental health. Similarly, the Supreme Court made clear that state legislatures seeking to regulate abortion would only be allowed to do so in ways that were based on science and facts not stereotypes, medical misinformation, or religious beliefs. In this way, </w:t>
      </w:r>
      <w:r>
        <w:rPr>
          <w:i/>
          <w:iCs/>
          <w:color w:val="000000"/>
        </w:rPr>
        <w:t>Roe</w:t>
      </w:r>
      <w:r>
        <w:rPr>
          <w:color w:val="000000"/>
        </w:rPr>
        <w:t xml:space="preserve"> provided a legal safeguard against misogyny, even as misogyny continued to exist. </w:t>
      </w:r>
    </w:p>
    <w:p w14:paraId="00000011" w14:textId="77777777" w:rsidR="009D3403" w:rsidRDefault="009D3403">
      <w:pPr>
        <w:spacing w:line="480" w:lineRule="auto"/>
        <w:rPr>
          <w:b/>
          <w:bCs/>
          <w:color w:val="000000"/>
        </w:rPr>
      </w:pPr>
    </w:p>
    <w:p w14:paraId="00000012" w14:textId="77777777" w:rsidR="009D3403" w:rsidRDefault="00000000">
      <w:pPr>
        <w:spacing w:line="480" w:lineRule="auto"/>
        <w:rPr>
          <w:b/>
          <w:bCs/>
          <w:color w:val="000000"/>
        </w:rPr>
      </w:pPr>
      <w:r>
        <w:rPr>
          <w:b/>
          <w:bCs/>
          <w:color w:val="000000"/>
        </w:rPr>
        <w:t xml:space="preserve">The Broader Social Implications of </w:t>
      </w:r>
      <w:r>
        <w:rPr>
          <w:b/>
          <w:bCs/>
          <w:i/>
          <w:iCs/>
          <w:color w:val="000000"/>
        </w:rPr>
        <w:t xml:space="preserve">Roe </w:t>
      </w:r>
    </w:p>
    <w:p w14:paraId="00000013" w14:textId="77777777" w:rsidR="009D3403" w:rsidRDefault="00000000">
      <w:pPr>
        <w:spacing w:line="480" w:lineRule="auto"/>
        <w:rPr>
          <w:color w:val="000000"/>
        </w:rPr>
      </w:pPr>
      <w:r>
        <w:rPr>
          <w:i/>
          <w:iCs/>
          <w:color w:val="000000"/>
        </w:rPr>
        <w:t>Roe</w:t>
      </w:r>
      <w:r>
        <w:rPr>
          <w:color w:val="000000"/>
        </w:rPr>
        <w:t xml:space="preserve"> had broad social consequences for women’s lives. Especially for those with race and class privilege, it offered freedom from the highly restrictive roles of wife and motherhood.  Without the fear of unplanned pregnancy, it made it more possible for women to pursue educational and career opportunities previously closed to them. Rather than being pressured prematurely into marriage, they were able to wait to find the right partners to settle down with (Friedan, 1969).  </w:t>
      </w:r>
      <w:r>
        <w:rPr>
          <w:color w:val="000000"/>
        </w:rPr>
        <w:lastRenderedPageBreak/>
        <w:t>The legalization of abortion was also sexually liberating for many women because they could then seek and experience sexual pleasure without fear of unplanned and unwanted pregnancy.</w:t>
      </w:r>
    </w:p>
    <w:p w14:paraId="00000014" w14:textId="77777777" w:rsidR="009D3403" w:rsidRDefault="00000000">
      <w:pPr>
        <w:spacing w:line="480" w:lineRule="auto"/>
        <w:rPr>
          <w:color w:val="000000"/>
        </w:rPr>
      </w:pPr>
      <w:r>
        <w:rPr>
          <w:b/>
          <w:bCs/>
          <w:color w:val="000000"/>
        </w:rPr>
        <w:tab/>
      </w:r>
      <w:r>
        <w:rPr>
          <w:color w:val="000000"/>
        </w:rPr>
        <w:t>Here it may be useful to remind ourselves how threatening a woman’s sexual freedom can be. Psychoanalytic theory holds that groups, like individuals, operate under the sway of primitive anxieties, anxieties about annihilation, dependency, and the body. Groups mobilize the same defenses as individuals: splitting, projection, idealization, and projective identification.  Understanding these anxieties and defenses offers us a framework for interpreting misogyny by illuminating the unconscious emotional logic underlying ostensibly rational justifications for controlling women’s bodies.</w:t>
      </w:r>
    </w:p>
    <w:p w14:paraId="00000015" w14:textId="77777777" w:rsidR="009D3403" w:rsidRDefault="009D3403">
      <w:pPr>
        <w:spacing w:line="480" w:lineRule="auto"/>
        <w:rPr>
          <w:b/>
          <w:bCs/>
          <w:color w:val="000000"/>
        </w:rPr>
      </w:pPr>
    </w:p>
    <w:p w14:paraId="00000016" w14:textId="77777777" w:rsidR="009D3403" w:rsidRDefault="009D3403">
      <w:pPr>
        <w:spacing w:line="480" w:lineRule="auto"/>
        <w:rPr>
          <w:b/>
          <w:bCs/>
          <w:color w:val="000000"/>
        </w:rPr>
      </w:pPr>
    </w:p>
    <w:p w14:paraId="00000017" w14:textId="77777777" w:rsidR="009D3403" w:rsidRDefault="00000000">
      <w:pPr>
        <w:spacing w:line="480" w:lineRule="auto"/>
        <w:rPr>
          <w:b/>
          <w:bCs/>
          <w:color w:val="000000"/>
        </w:rPr>
      </w:pPr>
      <w:r>
        <w:rPr>
          <w:b/>
          <w:bCs/>
          <w:color w:val="000000"/>
        </w:rPr>
        <w:t>Psychoanalytic Underpinnings of Misogyny/ A Kleinian Framework</w:t>
      </w:r>
    </w:p>
    <w:p w14:paraId="00000018" w14:textId="77777777" w:rsidR="009D3403" w:rsidRDefault="009D3403">
      <w:pPr>
        <w:spacing w:line="480" w:lineRule="auto"/>
        <w:rPr>
          <w:b/>
          <w:bCs/>
          <w:color w:val="000000"/>
        </w:rPr>
      </w:pPr>
    </w:p>
    <w:p w14:paraId="00000019" w14:textId="77777777" w:rsidR="009D3403" w:rsidRDefault="00000000">
      <w:pPr>
        <w:spacing w:line="480" w:lineRule="auto"/>
        <w:rPr>
          <w:color w:val="000000"/>
        </w:rPr>
      </w:pPr>
      <w:r>
        <w:rPr>
          <w:color w:val="000000"/>
        </w:rPr>
        <w:t xml:space="preserve">Melanie Klein’s (1935, 1946, 1957) theorization of the infant’s early experience of the mother helps us understand what might emerge as underlying hatred and envy of a woman’s separate experience of her own bodily integrity.  Klein described a theory of mind that places the mother at the center of infantile life, starting at birth. The mother is the repository of feelings and impulses that Klein labeled “good” and ‘bad”, corresponding to the development of love and hate.  Love and hate are the two forces at work in the mind from the beginning of life, and initially these relate to the primary object, the mother.  Love equates to experiences of comfort and hate accrues to experiences of discomfort, such as hunger, pain, and difficult emotional states.  For Klein the human mind develops in part as a result of how these forces are, over time, negotiated.  </w:t>
      </w:r>
    </w:p>
    <w:p w14:paraId="0000001A" w14:textId="77777777" w:rsidR="009D3403" w:rsidRDefault="00000000">
      <w:pPr>
        <w:spacing w:line="480" w:lineRule="auto"/>
        <w:ind w:firstLine="720"/>
        <w:rPr>
          <w:color w:val="000000"/>
        </w:rPr>
      </w:pPr>
      <w:r>
        <w:rPr>
          <w:color w:val="000000"/>
        </w:rPr>
        <w:lastRenderedPageBreak/>
        <w:t xml:space="preserve">One of Klein’s most important contributions is the idea of an innate destructiveness in the mind, and envy is its crucial expression.  In early life, envy is directed toward the mother’s creativity and goodness—and most notably in response to her capacity to give life, to nourish and to feed.  Klein believed that for some babies, the mother’s goodness becomes intolerable.  This is a paradoxical feature of infantile life, and it leads to various problems with relating, particularly with being able to negotiate love and hate.  Since babies are utterly dependent on early care and feeding, the primary parent (typically the mother) is felt to be the source of life itself and for this reason she is simultaneously loved and needed, but also potentially reviled. </w:t>
      </w:r>
    </w:p>
    <w:p w14:paraId="0000001B" w14:textId="77777777" w:rsidR="009D3403" w:rsidRDefault="00000000">
      <w:pPr>
        <w:spacing w:line="480" w:lineRule="auto"/>
        <w:ind w:firstLine="720"/>
        <w:rPr>
          <w:color w:val="000000"/>
        </w:rPr>
      </w:pPr>
      <w:r>
        <w:rPr>
          <w:color w:val="000000"/>
        </w:rPr>
        <w:t xml:space="preserve">  Envy is an expression of the destructive drive and arises –according to Klein—as a unique expression of the baby’s very profoundly mixed feelings toward the breast that feeds him and on which life depends.  Klein describes what she conceives of as “the intolerable goodness of the good breast” (1957). In other words, the very goodness of what is supplied can give rise to a unique form of hatred and destructiveness:  envy which aims to spoil that which is good.  This arises when the baby senses that the mother no longer </w:t>
      </w:r>
      <w:r>
        <w:rPr>
          <w:i/>
          <w:iCs/>
          <w:color w:val="000000"/>
        </w:rPr>
        <w:t xml:space="preserve">is </w:t>
      </w:r>
      <w:r>
        <w:rPr>
          <w:color w:val="000000"/>
        </w:rPr>
        <w:t xml:space="preserve">the breast (the source of infinite patience or nourishment) but that she </w:t>
      </w:r>
      <w:r>
        <w:rPr>
          <w:i/>
          <w:iCs/>
          <w:color w:val="000000"/>
        </w:rPr>
        <w:t>has</w:t>
      </w:r>
      <w:r>
        <w:rPr>
          <w:color w:val="000000"/>
        </w:rPr>
        <w:t xml:space="preserve"> the breast, and if she has the breast she can keep it for herself.  The baby may then react with intensifying efforts to possess the mother –what Klein vividly describes as a kind of primal wish.   Even in infantile life, the urge to take possession of the maternal figure and control her body from the inside exists. </w:t>
      </w:r>
    </w:p>
    <w:p w14:paraId="0000001C" w14:textId="77777777" w:rsidR="009D3403" w:rsidRDefault="00000000">
      <w:pPr>
        <w:spacing w:line="480" w:lineRule="auto"/>
        <w:ind w:firstLine="720"/>
        <w:rPr>
          <w:color w:val="000000"/>
          <w:highlight w:val="yellow"/>
        </w:rPr>
      </w:pPr>
      <w:r>
        <w:rPr>
          <w:color w:val="000000"/>
        </w:rPr>
        <w:t xml:space="preserve">In healthy development, when things go well, love will prevail and the envy will be modified. But when this envy remains intransigent, it can give rise to sadistic efforts to control the mother—the other—and it can be thought of as an important psychological underpinning of misogyny.  This destructive envy of the mother can be one of the early psychical sources that </w:t>
      </w:r>
      <w:r>
        <w:rPr>
          <w:color w:val="000000"/>
        </w:rPr>
        <w:lastRenderedPageBreak/>
        <w:t>gives rise to the socially structured hatred and diminishment of women, along with the need to control them and their bodies.</w:t>
      </w:r>
    </w:p>
    <w:p w14:paraId="0000001D" w14:textId="77777777" w:rsidR="009D3403" w:rsidRDefault="00000000">
      <w:pPr>
        <w:spacing w:line="480" w:lineRule="auto"/>
        <w:ind w:firstLine="720"/>
        <w:rPr>
          <w:color w:val="000000"/>
        </w:rPr>
      </w:pPr>
      <w:r>
        <w:rPr>
          <w:color w:val="000000"/>
        </w:rPr>
        <w:t xml:space="preserve">These early psychic formations can help us make sense of the psychological underpinnings of a broad, culture-wide animus and suspicion toward women’s “liberatory” impulses and their pleasure in sexual freedom, as well as the push to place greater controls on women.  What we see in misogyny is an expression of envy and hatred fueled by the resentful feeling that “she” keeps it all to herself.  In misogyny women’s primal power is turned against them.  Restrictions aimed at women’s freedoms are fueled by an underlying punitive impulse to legislate those freedoms.  The public shaming of a woman for articulating her thoughts, for speaking her mind—what Trump puts on display for all of us—is a reminder that misogyny is restrictive, degrading, and rampant.  It operates to call into question, to silence, to control, and to threaten and stymie a woman’s capacity for independent action and thought. </w:t>
      </w:r>
    </w:p>
    <w:p w14:paraId="0000001E" w14:textId="77777777" w:rsidR="009D3403" w:rsidRDefault="00000000">
      <w:pPr>
        <w:spacing w:line="480" w:lineRule="auto"/>
        <w:ind w:firstLine="720"/>
        <w:rPr>
          <w:color w:val="000000"/>
        </w:rPr>
      </w:pPr>
      <w:r>
        <w:rPr>
          <w:color w:val="000000"/>
        </w:rPr>
        <w:t xml:space="preserve">With any structured form of personal or social hatred, it is important to not reduce or generalize what is uniquely individual to the whole. As Moss and Zeavin have argued, the malignant forces at work in misogyny and other forms of institutionalized forms of hatred, such as racism, are put into action by large- and small-group identifications (2022). Hence, the hating entity is always potentially a “we.”   There is always a dialectical relationship at work between the individual and social unconscious. Social institutions, such as laws and cultural biases, place, effect, and reinforce misogyny on the individual level, and psychological trends are reinforced in the socio- political arena. </w:t>
      </w:r>
    </w:p>
    <w:p w14:paraId="0000001F" w14:textId="77777777" w:rsidR="009D3403" w:rsidRDefault="009D3403">
      <w:pPr>
        <w:spacing w:line="480" w:lineRule="auto"/>
        <w:rPr>
          <w:b/>
          <w:bCs/>
          <w:color w:val="000000"/>
        </w:rPr>
      </w:pPr>
    </w:p>
    <w:p w14:paraId="00000020" w14:textId="77777777" w:rsidR="009D3403" w:rsidRDefault="00000000">
      <w:pPr>
        <w:spacing w:line="480" w:lineRule="auto"/>
        <w:rPr>
          <w:b/>
          <w:bCs/>
          <w:color w:val="000000"/>
        </w:rPr>
      </w:pPr>
      <w:r>
        <w:rPr>
          <w:b/>
          <w:bCs/>
          <w:color w:val="000000"/>
        </w:rPr>
        <w:t xml:space="preserve">The Criminalization of Abortion prior to </w:t>
      </w:r>
      <w:r>
        <w:rPr>
          <w:b/>
          <w:bCs/>
          <w:i/>
          <w:iCs/>
          <w:color w:val="000000"/>
        </w:rPr>
        <w:t>Roe</w:t>
      </w:r>
    </w:p>
    <w:p w14:paraId="00000021" w14:textId="77777777" w:rsidR="009D3403" w:rsidRDefault="00000000">
      <w:pPr>
        <w:spacing w:line="480" w:lineRule="auto"/>
        <w:rPr>
          <w:color w:val="000000"/>
        </w:rPr>
      </w:pPr>
      <w:r>
        <w:rPr>
          <w:color w:val="000000"/>
        </w:rPr>
        <w:lastRenderedPageBreak/>
        <w:t>Abortion did not begin to be criminalized in the United States until the mid/later part of the 19</w:t>
      </w:r>
      <w:r>
        <w:rPr>
          <w:color w:val="000000"/>
          <w:vertAlign w:val="superscript"/>
        </w:rPr>
        <w:t>th</w:t>
      </w:r>
      <w:r>
        <w:rPr>
          <w:color w:val="000000"/>
        </w:rPr>
        <w:t xml:space="preserve"> century. Since 1880, and prior to </w:t>
      </w:r>
      <w:r>
        <w:rPr>
          <w:i/>
          <w:iCs/>
          <w:color w:val="000000"/>
        </w:rPr>
        <w:t>Roe</w:t>
      </w:r>
      <w:r>
        <w:rPr>
          <w:color w:val="000000"/>
        </w:rPr>
        <w:t xml:space="preserve">, abortion was illegal in all the US states under state law. By 1970, a few </w:t>
      </w:r>
      <w:r>
        <w:t>states</w:t>
      </w:r>
      <w:r>
        <w:rPr>
          <w:color w:val="000000"/>
        </w:rPr>
        <w:t xml:space="preserve">, beginning with New </w:t>
      </w:r>
      <w:r>
        <w:t>York, began</w:t>
      </w:r>
      <w:r>
        <w:rPr>
          <w:color w:val="000000"/>
        </w:rPr>
        <w:t xml:space="preserve"> to change their abortion laws. The decision in </w:t>
      </w:r>
      <w:r>
        <w:rPr>
          <w:i/>
          <w:iCs/>
          <w:color w:val="000000"/>
        </w:rPr>
        <w:t>Roe</w:t>
      </w:r>
      <w:r>
        <w:rPr>
          <w:color w:val="000000"/>
        </w:rPr>
        <w:t xml:space="preserve"> not only meant that many women would now be able to access safe, legal abortion care, it also removed the threat of arrest that both those who performed abortions and those who had them faced. While abortion providers were generally the ones who were arrested, women having pre-</w:t>
      </w:r>
      <w:r>
        <w:rPr>
          <w:i/>
          <w:iCs/>
          <w:color w:val="000000"/>
        </w:rPr>
        <w:t>Roe</w:t>
      </w:r>
      <w:r>
        <w:rPr>
          <w:color w:val="000000"/>
        </w:rPr>
        <w:t xml:space="preserve"> illegal abortions were often subjected to cruel and intimidating bedside interrogations by law enforcement officials and collaborating medical staff seeking the name of the person who had performed the abortion. And some women did face criminal charges.  For example, when Shirley Wheeler had an abortion in Florida in 1972 and refused to identify and incriminate the person who had performed the abortion, she was arrested. Significantly, she was not arrested under the state’s criminal abortion law. Instead, she was tried, arrested, and convicted of the crime of manslaughter (Pregnancy Justice, 2019). Fortunately, her conviction was overturned because the Florida Supreme Court and then the US Supreme Court in </w:t>
      </w:r>
      <w:r>
        <w:rPr>
          <w:i/>
          <w:iCs/>
          <w:color w:val="000000"/>
        </w:rPr>
        <w:t>Roe</w:t>
      </w:r>
      <w:r>
        <w:rPr>
          <w:color w:val="000000"/>
        </w:rPr>
        <w:t>, had declared criminal abortion laws unconstitutional</w:t>
      </w:r>
      <w:r>
        <w:rPr>
          <w:strike/>
          <w:color w:val="000000"/>
        </w:rPr>
        <w:t xml:space="preserve">.  </w:t>
      </w:r>
    </w:p>
    <w:p w14:paraId="00000022" w14:textId="77777777" w:rsidR="009D3403" w:rsidRDefault="009D3403">
      <w:pPr>
        <w:spacing w:line="480" w:lineRule="auto"/>
        <w:rPr>
          <w:b/>
          <w:bCs/>
          <w:color w:val="000000"/>
        </w:rPr>
      </w:pPr>
    </w:p>
    <w:p w14:paraId="00000023" w14:textId="77777777" w:rsidR="009D3403" w:rsidRDefault="00000000">
      <w:pPr>
        <w:spacing w:line="480" w:lineRule="auto"/>
        <w:rPr>
          <w:color w:val="000000"/>
        </w:rPr>
      </w:pPr>
      <w:r>
        <w:rPr>
          <w:b/>
          <w:bCs/>
          <w:color w:val="000000"/>
        </w:rPr>
        <w:t>Choice</w:t>
      </w:r>
    </w:p>
    <w:p w14:paraId="00000024" w14:textId="77777777" w:rsidR="009D3403" w:rsidRDefault="00000000">
      <w:pPr>
        <w:spacing w:line="480" w:lineRule="auto"/>
        <w:rPr>
          <w:color w:val="000000"/>
        </w:rPr>
      </w:pPr>
      <w:r>
        <w:rPr>
          <w:color w:val="000000"/>
        </w:rPr>
        <w:t xml:space="preserve">For the first time in U.S. history, </w:t>
      </w:r>
      <w:r>
        <w:rPr>
          <w:i/>
          <w:iCs/>
          <w:color w:val="000000"/>
        </w:rPr>
        <w:t>Roe</w:t>
      </w:r>
      <w:r>
        <w:rPr>
          <w:color w:val="000000"/>
        </w:rPr>
        <w:t xml:space="preserve"> legally protected a woman’s autonomy over her body – and by extension, her mind: it gave the right to choose; choice is a mental activity. Maksym Butkevych, a Ukrainian human rights activist, was held in Russian captivity for more than two years. Timothy Snyder, a well known historian known for his writings on Tyrrany, writes that Butkevych described how prison changed his thinking about violence.  It was not, he decided, about making a person do this thing or that thing. It was about the abolition of the capacity for </w:t>
      </w:r>
      <w:r>
        <w:rPr>
          <w:color w:val="000000"/>
        </w:rPr>
        <w:lastRenderedPageBreak/>
        <w:t xml:space="preserve">choice (Snyder, 2026). Torture was about the undoing of personhood itself, about turning a person into an object.  Misogyny, likewise, through its exertion of violence and coercion, not only instantiates women as objects—it aims to obliterate women’s power to choose. </w:t>
      </w:r>
    </w:p>
    <w:p w14:paraId="00000025" w14:textId="77777777" w:rsidR="009D3403" w:rsidRDefault="00000000">
      <w:pPr>
        <w:spacing w:line="480" w:lineRule="auto"/>
        <w:rPr>
          <w:color w:val="000000"/>
        </w:rPr>
      </w:pPr>
      <w:r>
        <w:rPr>
          <w:color w:val="000000"/>
        </w:rPr>
        <w:t xml:space="preserve"> </w:t>
      </w:r>
      <w:r>
        <w:rPr>
          <w:color w:val="000000"/>
        </w:rPr>
        <w:tab/>
        <w:t xml:space="preserve">Choice lends credence to human decision making and independence for women beyond family planning, but also toward other activities such as sexual pleasure, work, and educational endeavors.  </w:t>
      </w:r>
      <w:r>
        <w:rPr>
          <w:i/>
          <w:iCs/>
          <w:color w:val="000000"/>
        </w:rPr>
        <w:t>Roe</w:t>
      </w:r>
      <w:r>
        <w:rPr>
          <w:color w:val="000000"/>
        </w:rPr>
        <w:t xml:space="preserve"> was pro-life in the true sense of the term—life on the side of eros, on the side of creativity, generativity and freedom.  When reproductive freedoms are under assault, all of women’s liberatory freedoms are diminished, if not denied. These assaults range from normalized misogyny at the highest levels of political leadership—seeping into the unconscious—to the erosion of medical care and protections for women, especially poor women and women of color. The loss of choice, when taken in Butkevych’s terms turns life-threatening.</w:t>
      </w:r>
    </w:p>
    <w:p w14:paraId="00000026" w14:textId="77777777" w:rsidR="009D3403" w:rsidRDefault="009D3403">
      <w:pPr>
        <w:spacing w:line="480" w:lineRule="auto"/>
        <w:rPr>
          <w:b/>
          <w:bCs/>
          <w:color w:val="000000"/>
        </w:rPr>
      </w:pPr>
    </w:p>
    <w:p w14:paraId="00000027" w14:textId="77777777" w:rsidR="009D3403" w:rsidRDefault="00000000">
      <w:pPr>
        <w:spacing w:line="480" w:lineRule="auto"/>
        <w:rPr>
          <w:b/>
          <w:bCs/>
          <w:color w:val="000000"/>
        </w:rPr>
      </w:pPr>
      <w:r>
        <w:rPr>
          <w:b/>
          <w:bCs/>
          <w:color w:val="000000"/>
        </w:rPr>
        <w:t>Pro-life for whom? Whose lives matter?</w:t>
      </w:r>
    </w:p>
    <w:p w14:paraId="00000028" w14:textId="77777777" w:rsidR="009D3403" w:rsidRDefault="00000000">
      <w:pPr>
        <w:spacing w:line="480" w:lineRule="auto"/>
        <w:rPr>
          <w:color w:val="000000"/>
        </w:rPr>
      </w:pPr>
      <w:r>
        <w:rPr>
          <w:color w:val="000000"/>
        </w:rPr>
        <w:t xml:space="preserve">The abortion debate has been framed as pro-life versus pro-choice.  This framing has lent itself to a misogynist reordering that pervades common discourse.  When restrictions to abortion are called pro-life, it is paradoxically fetal life - the life of the unborn - that is being protected and not the life of the living person, the mother. While fetal life is glorified, women’s lives are being surveilled, controlled, invaded, and put at great physical risk.  When access to safe and legal abortion is unavailable, it is women who are at risk of death. This reflects a split:  fetal life is idealized while women’s lives are denigrated and viewed as a threat that must be contained.  When the rhetoric (or propaganda) holds an ethic that abortion is anti-life, then it follows that proponents of the right to legal abortion are by extension pro-death and deemed to be murderers. </w:t>
      </w:r>
    </w:p>
    <w:p w14:paraId="00000029" w14:textId="77777777" w:rsidR="009D3403" w:rsidRDefault="00000000">
      <w:pPr>
        <w:spacing w:line="480" w:lineRule="auto"/>
        <w:ind w:firstLine="720"/>
        <w:rPr>
          <w:color w:val="000000"/>
        </w:rPr>
      </w:pPr>
      <w:r>
        <w:rPr>
          <w:color w:val="000000"/>
        </w:rPr>
        <w:lastRenderedPageBreak/>
        <w:t xml:space="preserve">The trope of the all-powerful mother has a long history in psychoanalysis and in the world. It lingers in our collective unconscious, stemming from the belief that a woman’s ultimate power is to conceive, carry life, and give birth to babies.   This phantasy and its associated threat turn </w:t>
      </w:r>
      <w:r>
        <w:t>life-giving</w:t>
      </w:r>
      <w:r>
        <w:rPr>
          <w:color w:val="000000"/>
        </w:rPr>
        <w:t xml:space="preserve"> power into a potentially murderous, death-dealing force. This results in state and legal control of women and denies them the right to make decisions for themselves. </w:t>
      </w:r>
    </w:p>
    <w:p w14:paraId="0000002A" w14:textId="77777777" w:rsidR="009D3403" w:rsidRDefault="00000000">
      <w:pPr>
        <w:spacing w:line="480" w:lineRule="auto"/>
        <w:ind w:firstLine="720"/>
        <w:rPr>
          <w:color w:val="000000"/>
        </w:rPr>
      </w:pPr>
      <w:r>
        <w:rPr>
          <w:color w:val="000000"/>
        </w:rPr>
        <w:t>Therefore, misogyny is not only about hatred, it is also about control - the need to possess and restrict the maternal/female body.  Misogyny, under the influence of a pernicious projective identification, distorts the motivations of women and criminalizes them for their wish to be in control of their own bodily choices.  Therefore, it is the ones in charge, usually men, whose decision making turns murderous and whose intent seems to be domination, humiliation, and harm.</w:t>
      </w:r>
    </w:p>
    <w:p w14:paraId="0000002B" w14:textId="77777777" w:rsidR="009D3403" w:rsidRDefault="00000000">
      <w:pPr>
        <w:spacing w:line="480" w:lineRule="auto"/>
        <w:ind w:firstLine="720"/>
      </w:pPr>
      <w:r>
        <w:t xml:space="preserve">In contrast to the explicit elevation to the claim that fertilized eggs, embryos and fetuses are persons with a “right to life,” </w:t>
      </w:r>
      <w:r>
        <w:rPr>
          <w:i/>
          <w:iCs/>
          <w:color w:val="000000"/>
        </w:rPr>
        <w:t>Roe v. Wade</w:t>
      </w:r>
      <w:r>
        <w:t xml:space="preserve"> explicitly rejected the claim that fetuses at any stage of development are separate constitutional persons. As the Court noted, the Fourteenth Amendment protects “all persons born.” Because those who become pregnant are already born, the decision affirmed that women—at all stages of pregnancy—are full constitutional persons.</w:t>
      </w:r>
    </w:p>
    <w:p w14:paraId="0000002C" w14:textId="77777777" w:rsidR="009D3403" w:rsidRDefault="00000000">
      <w:pPr>
        <w:spacing w:line="480" w:lineRule="auto"/>
        <w:ind w:firstLine="720"/>
        <w:rPr>
          <w:b/>
          <w:bCs/>
        </w:rPr>
      </w:pPr>
      <w:r>
        <w:t>Although the Court allowed states to restrict abortion after fetal viability, it required that abortion remain available when necessary to protect the life or health of the woman. Crucially, “health” had already been defined to include both physical and emotional well-being. This framework made clear that the state’s paramount interest must be the woman—the already born person—whose health, including mental health, must take precedence.</w:t>
      </w:r>
    </w:p>
    <w:p w14:paraId="0000002D" w14:textId="77777777" w:rsidR="009D3403" w:rsidRDefault="009D3403">
      <w:pPr>
        <w:pBdr>
          <w:top w:val="nil"/>
          <w:left w:val="nil"/>
          <w:bottom w:val="nil"/>
          <w:right w:val="nil"/>
          <w:between w:val="nil"/>
        </w:pBdr>
        <w:spacing w:before="280" w:after="280" w:line="480" w:lineRule="auto"/>
        <w:rPr>
          <w:b/>
          <w:bCs/>
          <w:color w:val="000000"/>
        </w:rPr>
      </w:pPr>
    </w:p>
    <w:p w14:paraId="0000002E" w14:textId="77777777" w:rsidR="009D3403" w:rsidRDefault="00000000">
      <w:pPr>
        <w:pBdr>
          <w:top w:val="nil"/>
          <w:left w:val="nil"/>
          <w:bottom w:val="nil"/>
          <w:right w:val="nil"/>
          <w:between w:val="nil"/>
        </w:pBdr>
        <w:spacing w:line="480" w:lineRule="auto"/>
        <w:rPr>
          <w:b/>
          <w:bCs/>
          <w:color w:val="000000"/>
        </w:rPr>
      </w:pPr>
      <w:r>
        <w:rPr>
          <w:b/>
          <w:bCs/>
          <w:color w:val="000000"/>
        </w:rPr>
        <w:lastRenderedPageBreak/>
        <w:t xml:space="preserve">Punitive attempts on women to bypass </w:t>
      </w:r>
      <w:r>
        <w:rPr>
          <w:b/>
          <w:bCs/>
          <w:i/>
          <w:iCs/>
          <w:color w:val="000000"/>
        </w:rPr>
        <w:t>Roe</w:t>
      </w:r>
    </w:p>
    <w:p w14:paraId="0000002F" w14:textId="77777777" w:rsidR="009D3403" w:rsidRDefault="00000000">
      <w:pPr>
        <w:pBdr>
          <w:top w:val="nil"/>
          <w:left w:val="nil"/>
          <w:bottom w:val="nil"/>
          <w:right w:val="nil"/>
          <w:between w:val="nil"/>
        </w:pBdr>
        <w:spacing w:line="480" w:lineRule="auto"/>
        <w:rPr>
          <w:color w:val="000000"/>
        </w:rPr>
      </w:pPr>
      <w:r>
        <w:rPr>
          <w:color w:val="000000"/>
        </w:rPr>
        <w:t xml:space="preserve">By rejecting the notion that fetuses are constitutional persons, </w:t>
      </w:r>
      <w:r>
        <w:rPr>
          <w:i/>
          <w:iCs/>
          <w:color w:val="000000"/>
        </w:rPr>
        <w:t>Roe</w:t>
      </w:r>
      <w:r>
        <w:rPr>
          <w:color w:val="000000"/>
        </w:rPr>
        <w:t xml:space="preserve"> affirmed women’s personhood throughout pregnancy, labor, and delivery, and it protected against efforts to use claims of fetal rights to control, penalize, and dehumanize them. Nevertheless, prosecutors and legislators repeatedly attempted to turn </w:t>
      </w:r>
      <w:r>
        <w:rPr>
          <w:i/>
          <w:iCs/>
          <w:color w:val="000000"/>
        </w:rPr>
        <w:t>Roe</w:t>
      </w:r>
      <w:r>
        <w:rPr>
          <w:color w:val="000000"/>
        </w:rPr>
        <w:t xml:space="preserve"> on its head, expanding the state’s limited interest in potential life recognized only in the context of regulating abortion into a justification for policing women’s conduct throughout pregnancy. Under this logic, anything a pregnant person did that might be construed as a risk to fetal life could be criminalized.</w:t>
      </w:r>
    </w:p>
    <w:p w14:paraId="00000030" w14:textId="77777777" w:rsidR="009D3403" w:rsidRDefault="00000000">
      <w:pPr>
        <w:pBdr>
          <w:top w:val="nil"/>
          <w:left w:val="nil"/>
          <w:bottom w:val="nil"/>
          <w:right w:val="nil"/>
          <w:between w:val="nil"/>
        </w:pBdr>
        <w:spacing w:before="280" w:after="280" w:line="480" w:lineRule="auto"/>
        <w:ind w:firstLine="720"/>
        <w:rPr>
          <w:color w:val="000000"/>
        </w:rPr>
      </w:pPr>
      <w:r>
        <w:rPr>
          <w:color w:val="000000"/>
        </w:rPr>
        <w:t>As a result, women have been arrested, detained, and incarcerated for a wide range of crimes (child abuse, child neglect, delivery of drugs to a minor – through the umbilical cord) for allegedly endangering “unborn” life.   Thousands of women have been deprived of their physical liberty during or after pregnancy, including after miscarriage, abortion, or the birth of healthy children. Women have been prosecuted for being pregnant and experiencing drug dependency problems, or merely for being pregnant and testing positive for any amount of a criminalized drug or alcohol. They have been arrested for being pregnant and falling down a flight of stairs, failing to follow risk doctor’s advice to get bed rest, or attempting suicide. And while it is often the alleged of harm that law enforcement officials argue justify these arrests, they are almost never required to prove that there is a causal link between supposed risk and the alleged a harm. Claims of fetal rights have also been used to justify forced medical interventions, including invasive surgeries performed without consent, depriving women of bodily integrity and medical decision-making.</w:t>
      </w:r>
    </w:p>
    <w:p w14:paraId="00000031" w14:textId="77777777" w:rsidR="009D3403" w:rsidRDefault="00000000">
      <w:pPr>
        <w:widowControl w:val="0"/>
        <w:tabs>
          <w:tab w:val="left" w:pos="0"/>
        </w:tabs>
        <w:spacing w:line="480" w:lineRule="auto"/>
      </w:pPr>
      <w:r>
        <w:rPr>
          <w:color w:val="000000"/>
        </w:rPr>
        <w:tab/>
        <w:t>The case of Angela Carder makes these stakes starkly clear (</w:t>
      </w:r>
      <w:r>
        <w:rPr>
          <w:i/>
          <w:iCs/>
        </w:rPr>
        <w:t>In re A.C.</w:t>
      </w:r>
      <w:r>
        <w:t xml:space="preserve">, 1990). In 1988, </w:t>
      </w:r>
      <w:r>
        <w:lastRenderedPageBreak/>
        <w:t>despite her explicit refusal and the known risks to her life, a court ordered cesarean surgery to give the fetus a chance of survival. The fetus was not viable, and Carder died shortly thereafter with the forced surgery listed as a contributing factor in her death. In no other circumstance can a person be compelled to undergo surgery for the benefit of another—not even a parent for a child—yet pregnant women have frequently been subjected to such coercion. These cases reveal that claims of fetal personhood do not seek equality with the born, but superiority over them.</w:t>
      </w:r>
      <w:r>
        <w:tab/>
      </w:r>
    </w:p>
    <w:p w14:paraId="00000032" w14:textId="77777777" w:rsidR="009D3403" w:rsidRDefault="00000000">
      <w:pPr>
        <w:widowControl w:val="0"/>
        <w:tabs>
          <w:tab w:val="left" w:pos="0"/>
        </w:tabs>
        <w:spacing w:line="480" w:lineRule="auto"/>
      </w:pPr>
      <w:r>
        <w:tab/>
        <w:t>The denial of rights extends beyond liberty and bodily integrity. Pregnant women have been denied religious freedom, subjected to excessive bail, deprived of adequate medical care, forced to give birth in shackles, and exposed to cruel and disproportionate punishment (</w:t>
      </w:r>
      <w:r>
        <w:rPr>
          <w:i/>
          <w:iCs/>
        </w:rPr>
        <w:t>State v. Young</w:t>
      </w:r>
      <w:r>
        <w:t xml:space="preserve">, 1989; </w:t>
      </w:r>
      <w:r>
        <w:rPr>
          <w:i/>
          <w:iCs/>
          <w:color w:val="000000"/>
        </w:rPr>
        <w:t>In re Unborn Child of Starks</w:t>
      </w:r>
      <w:r>
        <w:t xml:space="preserve"> 1999; </w:t>
      </w:r>
      <w:r>
        <w:rPr>
          <w:i/>
          <w:iCs/>
          <w:color w:val="000000"/>
        </w:rPr>
        <w:t>McKnight v. State</w:t>
      </w:r>
      <w:r>
        <w:rPr>
          <w:color w:val="000000"/>
        </w:rPr>
        <w:t>, 2008</w:t>
      </w:r>
      <w:r>
        <w:t>). They have been denied due process, including legal representation, the right to travel, protection from unwarranted searches, and the right to privacy in their medical information. They have been coerced into unwanted medical procedures, penalized for pregnancy outcomes of all kinds, and subjected to punitive family separation through child welfare systems.</w:t>
      </w:r>
    </w:p>
    <w:p w14:paraId="00000033" w14:textId="77777777" w:rsidR="009D3403" w:rsidRDefault="00000000">
      <w:pPr>
        <w:widowControl w:val="0"/>
        <w:tabs>
          <w:tab w:val="left" w:pos="0"/>
        </w:tabs>
        <w:spacing w:line="480" w:lineRule="auto"/>
      </w:pPr>
      <w:r>
        <w:tab/>
        <w:t xml:space="preserve">These practices are sustained by misinformation and misogynistic bias. Although none of the criminalized drugs are abortifacients and evidence-based research has been unable to causally link any of them to permanent or lasting fetal harm, arrests have disproportionately targeted pregnant women who use them. The “crack baby” myth, rooted in racism and misogyny, was used to justify the surveillance and punishment of Black women in particular. </w:t>
      </w:r>
    </w:p>
    <w:p w14:paraId="00000034" w14:textId="77777777" w:rsidR="009D3403" w:rsidRDefault="00000000">
      <w:pPr>
        <w:widowControl w:val="0"/>
        <w:tabs>
          <w:tab w:val="left" w:pos="0"/>
        </w:tabs>
        <w:spacing w:line="480" w:lineRule="auto"/>
      </w:pPr>
      <w:r>
        <w:tab/>
        <w:t xml:space="preserve">What emerges is a system in which pregnant women are denied equal protection under the law and required to subordinate all aspects of their lives to the state’s asserted interest in fetal life. Pregnancy in general becomes a site of intensified surveillance, punishment, and control—rationalized as the protection of the fetus - the “life” in pro-life - but it is actually promoting a </w:t>
      </w:r>
      <w:r>
        <w:lastRenderedPageBreak/>
        <w:t>systematized assault on women’s health. If a pregnancy does not proceed in the ordinary way—nine months leading to a healthy baby—women are to blame and may be subject to criminal investigation. And even when there is a healthy birth outcome – which is the situation in the vast majority of cases involving arrests and prosecutions – the claim of a risk of harm is enough to justify law enforcement action.</w:t>
      </w:r>
    </w:p>
    <w:p w14:paraId="00000035" w14:textId="77777777" w:rsidR="009D3403" w:rsidRDefault="00000000">
      <w:pPr>
        <w:widowControl w:val="0"/>
        <w:tabs>
          <w:tab w:val="left" w:pos="0"/>
        </w:tabs>
        <w:spacing w:line="480" w:lineRule="auto"/>
      </w:pPr>
      <w:r>
        <w:tab/>
        <w:t>In fact, women are increasingly criminalized for the normal vicissitudes of pregnancy—pregnancies that cannot be carried to term for medical reasons as well as miscarriages, or planned abortions.  The deeply entrenched misogyny of our culture seeks to regulate women’s bodies. We cannot overestimate how the realm of pregnancy has become an arena rife with discrimination against women and their punishment.</w:t>
      </w:r>
    </w:p>
    <w:p w14:paraId="00000036" w14:textId="77777777" w:rsidR="009D3403" w:rsidRDefault="009D3403">
      <w:pPr>
        <w:pBdr>
          <w:top w:val="nil"/>
          <w:left w:val="nil"/>
          <w:bottom w:val="nil"/>
          <w:right w:val="nil"/>
          <w:between w:val="nil"/>
        </w:pBdr>
        <w:spacing w:before="280" w:after="280" w:line="480" w:lineRule="auto"/>
        <w:rPr>
          <w:b/>
          <w:bCs/>
          <w:color w:val="000000"/>
        </w:rPr>
      </w:pPr>
    </w:p>
    <w:p w14:paraId="00000037" w14:textId="77777777" w:rsidR="009D3403" w:rsidRDefault="00000000">
      <w:pPr>
        <w:pBdr>
          <w:top w:val="nil"/>
          <w:left w:val="nil"/>
          <w:bottom w:val="nil"/>
          <w:right w:val="nil"/>
          <w:between w:val="nil"/>
        </w:pBdr>
        <w:spacing w:before="280" w:after="280" w:line="480" w:lineRule="auto"/>
        <w:rPr>
          <w:b/>
          <w:bCs/>
          <w:color w:val="000000"/>
        </w:rPr>
      </w:pPr>
      <w:r>
        <w:rPr>
          <w:b/>
          <w:bCs/>
          <w:color w:val="000000"/>
        </w:rPr>
        <w:t xml:space="preserve">Legal protections for women in </w:t>
      </w:r>
      <w:r>
        <w:rPr>
          <w:b/>
          <w:bCs/>
          <w:i/>
          <w:iCs/>
          <w:color w:val="000000"/>
        </w:rPr>
        <w:t>Roe</w:t>
      </w:r>
      <w:r>
        <w:rPr>
          <w:b/>
          <w:bCs/>
          <w:color w:val="000000"/>
        </w:rPr>
        <w:t xml:space="preserve"> and Casey</w:t>
      </w:r>
    </w:p>
    <w:p w14:paraId="00000038" w14:textId="77777777" w:rsidR="009D3403" w:rsidRDefault="00000000">
      <w:pPr>
        <w:spacing w:line="480" w:lineRule="auto"/>
      </w:pPr>
      <w:r>
        <w:rPr>
          <w:i/>
          <w:iCs/>
          <w:color w:val="000000"/>
        </w:rPr>
        <w:t>Roe</w:t>
      </w:r>
      <w:r>
        <w:rPr>
          <w:color w:val="000000"/>
        </w:rPr>
        <w:t xml:space="preserve">—and its reaffirmation in </w:t>
      </w:r>
      <w:r>
        <w:rPr>
          <w:i/>
          <w:iCs/>
          <w:color w:val="000000"/>
        </w:rPr>
        <w:t>Planned Parenthood v. Casey</w:t>
      </w:r>
      <w:r>
        <w:rPr>
          <w:color w:val="000000"/>
        </w:rPr>
        <w:t xml:space="preserve">—had provided an essential legal backstop against punitive state actions against pregnant women. In </w:t>
      </w:r>
      <w:r>
        <w:rPr>
          <w:i/>
          <w:iCs/>
          <w:color w:val="000000"/>
        </w:rPr>
        <w:t xml:space="preserve">Casey </w:t>
      </w:r>
      <w:r>
        <w:rPr>
          <w:color w:val="000000"/>
        </w:rPr>
        <w:t>(1992)</w:t>
      </w:r>
      <w:r>
        <w:t xml:space="preserve">, the Court rejected spousal notification requirements, warning that granting such authority would amount to giving husbands dominion over their wives. The Court recognized that elevating interests in fetal life above women’s liberty would justify far-reaching intrusions into women’s autonomy. </w:t>
      </w:r>
    </w:p>
    <w:p w14:paraId="00000039" w14:textId="77777777" w:rsidR="009D3403" w:rsidRDefault="00000000">
      <w:pPr>
        <w:pBdr>
          <w:top w:val="nil"/>
          <w:left w:val="nil"/>
          <w:bottom w:val="nil"/>
          <w:right w:val="nil"/>
          <w:between w:val="nil"/>
        </w:pBdr>
        <w:spacing w:before="280" w:after="280" w:line="480" w:lineRule="auto"/>
        <w:ind w:firstLine="720"/>
        <w:rPr>
          <w:color w:val="000000"/>
        </w:rPr>
      </w:pPr>
      <w:r>
        <w:rPr>
          <w:color w:val="000000"/>
        </w:rPr>
        <w:t xml:space="preserve">With the protection of </w:t>
      </w:r>
      <w:r>
        <w:rPr>
          <w:i/>
          <w:iCs/>
          <w:color w:val="000000"/>
        </w:rPr>
        <w:t>Roe</w:t>
      </w:r>
      <w:r>
        <w:rPr>
          <w:color w:val="000000"/>
        </w:rPr>
        <w:t xml:space="preserve"> and </w:t>
      </w:r>
      <w:r>
        <w:rPr>
          <w:i/>
          <w:iCs/>
          <w:color w:val="000000"/>
        </w:rPr>
        <w:t>Casey</w:t>
      </w:r>
      <w:r>
        <w:rPr>
          <w:color w:val="000000"/>
        </w:rPr>
        <w:t xml:space="preserve">, legal advocates were often able to overturn convictions and block prosecutions based on pregnancy. Challenges to such prosecutions succeeded in most states, though courts in South Carolina, Oklahoma, and Alabama upheld expansive interpretations of fetal rights. In Alabama, the courts recognized frozen embryos as </w:t>
      </w:r>
      <w:r>
        <w:rPr>
          <w:color w:val="000000"/>
        </w:rPr>
        <w:lastRenderedPageBreak/>
        <w:t xml:space="preserve">legal persons, reinforcing a framework in which reproductive capacity itself became subject to state control. In these jurisdictions, fetuses have effectively been granted rights exceeding those of born persons, enabling punitive actions uniquely directed at women and setting the stage for overturning </w:t>
      </w:r>
      <w:r>
        <w:rPr>
          <w:i/>
          <w:iCs/>
          <w:color w:val="000000"/>
        </w:rPr>
        <w:t>Roe</w:t>
      </w:r>
      <w:r>
        <w:rPr>
          <w:color w:val="000000"/>
        </w:rPr>
        <w:t>.</w:t>
      </w:r>
    </w:p>
    <w:p w14:paraId="0000003A" w14:textId="77777777" w:rsidR="009D3403" w:rsidRDefault="00000000">
      <w:pPr>
        <w:pBdr>
          <w:top w:val="nil"/>
          <w:left w:val="nil"/>
          <w:bottom w:val="nil"/>
          <w:right w:val="nil"/>
          <w:between w:val="nil"/>
        </w:pBdr>
        <w:spacing w:line="480" w:lineRule="auto"/>
        <w:rPr>
          <w:b/>
          <w:bCs/>
          <w:color w:val="000000"/>
        </w:rPr>
      </w:pPr>
      <w:r>
        <w:rPr>
          <w:b/>
          <w:bCs/>
          <w:color w:val="000000"/>
        </w:rPr>
        <w:t xml:space="preserve">The overturning of </w:t>
      </w:r>
      <w:r>
        <w:rPr>
          <w:b/>
          <w:bCs/>
          <w:i/>
          <w:iCs/>
          <w:color w:val="000000"/>
        </w:rPr>
        <w:t>Roe</w:t>
      </w:r>
    </w:p>
    <w:p w14:paraId="0000003B" w14:textId="77777777" w:rsidR="009D3403" w:rsidRDefault="00000000">
      <w:pPr>
        <w:spacing w:line="480" w:lineRule="auto"/>
        <w:rPr>
          <w:color w:val="000000"/>
        </w:rPr>
      </w:pPr>
      <w:r>
        <w:rPr>
          <w:color w:val="000000"/>
        </w:rPr>
        <w:t xml:space="preserve">While the 2022 decision in </w:t>
      </w:r>
      <w:r>
        <w:rPr>
          <w:i/>
          <w:iCs/>
          <w:color w:val="000000"/>
        </w:rPr>
        <w:t>Dobbs</w:t>
      </w:r>
      <w:r>
        <w:rPr>
          <w:color w:val="000000"/>
        </w:rPr>
        <w:t xml:space="preserve">, reached by a MAGA majority on the Supreme Court, did not specifically recognize fetal personhood, it fatefully overturned </w:t>
      </w:r>
      <w:r>
        <w:rPr>
          <w:i/>
          <w:iCs/>
          <w:color w:val="000000"/>
        </w:rPr>
        <w:t>Roe v. Wade</w:t>
      </w:r>
      <w:r>
        <w:rPr>
          <w:color w:val="000000"/>
        </w:rPr>
        <w:t xml:space="preserve">.  This crucial decision </w:t>
      </w:r>
      <w:r>
        <w:rPr>
          <w:i/>
          <w:iCs/>
          <w:color w:val="000000"/>
        </w:rPr>
        <w:t>has effectively denied women a full or equal place in the constitutional order</w:t>
      </w:r>
      <w:r>
        <w:rPr>
          <w:color w:val="000000"/>
        </w:rPr>
        <w:t xml:space="preserve"> (italics ours). It elevated --or perhaps a better word would be sanctified --“respect for and preservation of prenatal life at all stages of development” as a state interest that would justify any and all laws regulating the people who get pregnant and may need an abortion.</w:t>
      </w:r>
    </w:p>
    <w:p w14:paraId="0000003C" w14:textId="77777777" w:rsidR="009D3403" w:rsidRDefault="00000000">
      <w:pPr>
        <w:pStyle w:val="Heading1"/>
        <w:spacing w:after="150" w:line="480" w:lineRule="auto"/>
        <w:ind w:firstLine="720"/>
        <w:rPr>
          <w:sz w:val="24"/>
          <w:szCs w:val="24"/>
          <w:highlight w:val="white"/>
        </w:rPr>
      </w:pPr>
      <w:r>
        <w:rPr>
          <w:b w:val="0"/>
          <w:bCs w:val="0"/>
          <w:color w:val="000000"/>
          <w:sz w:val="24"/>
          <w:szCs w:val="24"/>
        </w:rPr>
        <w:t xml:space="preserve">In </w:t>
      </w:r>
      <w:r>
        <w:rPr>
          <w:b w:val="0"/>
          <w:bCs w:val="0"/>
          <w:i/>
          <w:iCs/>
          <w:color w:val="000000"/>
          <w:sz w:val="24"/>
          <w:szCs w:val="24"/>
        </w:rPr>
        <w:t>Dobbs</w:t>
      </w:r>
      <w:r>
        <w:rPr>
          <w:b w:val="0"/>
          <w:bCs w:val="0"/>
          <w:color w:val="000000"/>
          <w:sz w:val="24"/>
          <w:szCs w:val="24"/>
        </w:rPr>
        <w:t xml:space="preserve">, the MAGA Justices who overturned </w:t>
      </w:r>
      <w:r>
        <w:rPr>
          <w:b w:val="0"/>
          <w:bCs w:val="0"/>
          <w:i/>
          <w:iCs/>
          <w:color w:val="000000"/>
          <w:sz w:val="24"/>
          <w:szCs w:val="24"/>
        </w:rPr>
        <w:t>Roe</w:t>
      </w:r>
      <w:r>
        <w:rPr>
          <w:b w:val="0"/>
          <w:bCs w:val="0"/>
          <w:color w:val="000000"/>
          <w:sz w:val="24"/>
          <w:szCs w:val="24"/>
        </w:rPr>
        <w:t xml:space="preserve"> did so deliberately, refusing to recognize or even consider the impact this would have on women’s lives and health.  Feigning an inability to determine how women in the preceding nearly 50 years had relied upon access to safe and legal abortion care and what the consequences to their lives and health would be of eliminating that access, the Court instead claimed that it was “ill-equipped to assess ‘generalized assertions about the national psyche.’”</w:t>
      </w:r>
      <w:r>
        <w:rPr>
          <w:b w:val="0"/>
          <w:bCs w:val="0"/>
          <w:color w:val="000000"/>
          <w:sz w:val="24"/>
          <w:szCs w:val="24"/>
          <w:highlight w:val="white"/>
        </w:rPr>
        <w:t xml:space="preserve"> (</w:t>
      </w:r>
      <w:r>
        <w:rPr>
          <w:b w:val="0"/>
          <w:bCs w:val="0"/>
          <w:i/>
          <w:iCs/>
          <w:color w:val="1A1A1A"/>
          <w:sz w:val="24"/>
          <w:szCs w:val="24"/>
        </w:rPr>
        <w:t>Dobbs v. Jackson Women's Health Organization</w:t>
      </w:r>
      <w:r>
        <w:rPr>
          <w:b w:val="0"/>
          <w:bCs w:val="0"/>
          <w:color w:val="1A1A1A"/>
          <w:sz w:val="24"/>
          <w:szCs w:val="24"/>
        </w:rPr>
        <w:t>, 2022, p. 64) Alito writing for the majority.</w:t>
      </w:r>
    </w:p>
    <w:p w14:paraId="0000003D" w14:textId="77777777" w:rsidR="009D3403" w:rsidRDefault="00000000">
      <w:pPr>
        <w:spacing w:line="480" w:lineRule="auto"/>
        <w:rPr>
          <w:color w:val="000000"/>
        </w:rPr>
      </w:pPr>
      <w:r>
        <w:rPr>
          <w:color w:val="000000"/>
          <w:highlight w:val="white"/>
        </w:rPr>
        <w:tab/>
        <w:t xml:space="preserve">The </w:t>
      </w:r>
      <w:r>
        <w:rPr>
          <w:i/>
          <w:iCs/>
          <w:color w:val="000000"/>
        </w:rPr>
        <w:t xml:space="preserve">Dobbs </w:t>
      </w:r>
      <w:r>
        <w:rPr>
          <w:color w:val="000000"/>
        </w:rPr>
        <w:t>decision removed from courts the ability to consider and address the true impacts such laws have on pregnant women</w:t>
      </w:r>
      <w:r>
        <w:rPr>
          <w:color w:val="000000"/>
          <w:highlight w:val="white"/>
        </w:rPr>
        <w:t xml:space="preserve">. Under the </w:t>
      </w:r>
      <w:r>
        <w:rPr>
          <w:color w:val="000000"/>
        </w:rPr>
        <w:t>guise of respecting and preserving prenatal life, states now have the tools to unlock every form of gender discrimination imaginable to punish those who carry and give birth to the very fetuses who are granted protections.</w:t>
      </w:r>
    </w:p>
    <w:p w14:paraId="0000003E" w14:textId="77777777" w:rsidR="009D3403" w:rsidRDefault="009D3403">
      <w:pPr>
        <w:spacing w:line="480" w:lineRule="auto"/>
        <w:rPr>
          <w:color w:val="000000"/>
        </w:rPr>
      </w:pPr>
    </w:p>
    <w:p w14:paraId="0000003F" w14:textId="77777777" w:rsidR="009D3403" w:rsidRDefault="00000000">
      <w:pPr>
        <w:spacing w:line="480" w:lineRule="auto"/>
        <w:rPr>
          <w:b/>
          <w:bCs/>
          <w:color w:val="000000"/>
          <w:u w:val="single"/>
        </w:rPr>
      </w:pPr>
      <w:r>
        <w:rPr>
          <w:b/>
          <w:bCs/>
          <w:i/>
          <w:iCs/>
          <w:color w:val="000000"/>
          <w:u w:val="single"/>
        </w:rPr>
        <w:lastRenderedPageBreak/>
        <w:t>Dobbs</w:t>
      </w:r>
      <w:r>
        <w:rPr>
          <w:b/>
          <w:bCs/>
          <w:color w:val="000000"/>
          <w:u w:val="single"/>
        </w:rPr>
        <w:t>’s Impact on Abortion and Beyond</w:t>
      </w:r>
    </w:p>
    <w:p w14:paraId="00000040" w14:textId="77777777" w:rsidR="009D3403" w:rsidRDefault="00000000">
      <w:pPr>
        <w:spacing w:line="480" w:lineRule="auto"/>
        <w:rPr>
          <w:color w:val="000000"/>
        </w:rPr>
      </w:pPr>
      <w:r>
        <w:rPr>
          <w:color w:val="000000"/>
        </w:rPr>
        <w:t>The impact of Dobbs has been dramatic in ways that were entirely predictable (Paltrow, 2024). As of this writing in March 2026, 41 states in the US have abortion bans in effect with only limited exceptions and thirteen of these have imposed total bans on abortion. (Guttmacher, 2026).  Over half (53%) of White women ages 18-49 live in states with bans or restrictions. Six in ten Black (60%) and American Indian or Alaska Native (59%) women ages 18-49 live in states with abortion bans or gestational restrictions (Fowler, 2023; Stoneburner et al., 2024; Gomez et al., 2025). </w:t>
      </w:r>
    </w:p>
    <w:p w14:paraId="00000041" w14:textId="77777777" w:rsidR="009D3403" w:rsidRDefault="00000000">
      <w:pPr>
        <w:spacing w:line="480" w:lineRule="auto"/>
        <w:ind w:firstLine="720"/>
        <w:rPr>
          <w:color w:val="000000"/>
        </w:rPr>
      </w:pPr>
      <w:r>
        <w:rPr>
          <w:color w:val="000000"/>
        </w:rPr>
        <w:t>While all these abortion laws include an exception to their bans when an abortion is necessary to protect the life of the pregnant person, these exceptions are often narrowly defined. For example, Indiana limits its life exception to pregnancies up to 20 weeks post-fertilization. (In other words, in Indiana a woman who is 21 or more weeks pregnant can be denied an abortion even though without one she will die).</w:t>
      </w:r>
    </w:p>
    <w:p w14:paraId="00000042" w14:textId="77777777" w:rsidR="009D3403" w:rsidRDefault="00000000">
      <w:pPr>
        <w:spacing w:line="480" w:lineRule="auto"/>
        <w:ind w:firstLine="720"/>
        <w:rPr>
          <w:color w:val="000000"/>
        </w:rPr>
      </w:pPr>
      <w:r>
        <w:rPr>
          <w:color w:val="000000"/>
        </w:rPr>
        <w:t>These legal structures produce predictable outcomes. Even when individuals meet the formal criteria for an exception, they are often unable to prove it and/or access care in practice. Requirements for documentation, delays in decision-making, and providers’ fear of legal consequences effectively nullify the existence of exceptions.</w:t>
      </w:r>
    </w:p>
    <w:p w14:paraId="00000043" w14:textId="77777777" w:rsidR="009D3403" w:rsidRDefault="00000000">
      <w:pPr>
        <w:spacing w:line="480" w:lineRule="auto"/>
        <w:ind w:firstLine="720"/>
        <w:rPr>
          <w:color w:val="000000"/>
        </w:rPr>
      </w:pPr>
      <w:r>
        <w:rPr>
          <w:color w:val="000000"/>
        </w:rPr>
        <w:t xml:space="preserve">While </w:t>
      </w:r>
      <w:r>
        <w:rPr>
          <w:i/>
          <w:iCs/>
          <w:color w:val="000000"/>
        </w:rPr>
        <w:t>Dobbs</w:t>
      </w:r>
      <w:r>
        <w:rPr>
          <w:color w:val="000000"/>
        </w:rPr>
        <w:t xml:space="preserve"> purports to address abortion alone, it is being implemented to regulate people who become pregnant regardless of intent, stage, or outcome—abortion, miscarriage, stillbirth, or birth. As of August 2023, more than 5.6 million women live in counties with limited or no access to maternity care—so-called “maternity care deserts” lacking obstetric providers and facilities. At the same time, applications to medical residencies in states with abortion bans have declined, further straining care.</w:t>
      </w:r>
    </w:p>
    <w:p w14:paraId="00000044" w14:textId="77777777" w:rsidR="009D3403" w:rsidRDefault="00000000">
      <w:pPr>
        <w:spacing w:line="480" w:lineRule="auto"/>
        <w:ind w:firstLine="720"/>
      </w:pPr>
      <w:r>
        <w:lastRenderedPageBreak/>
        <w:t>States with more abortion restrictions have higher maternal mortality rates. Women in states that ban abortion are nearly twice as likely to die during pregnancy, childbirth, or shortly thereafter compared to those in states where abortion remains legal. The United States already has the highest maternal mortality rate among high-income nations, with Black women disproportionately affected; over 80 percent of these deaths are likely preventable (Gunja et al., 2024).</w:t>
      </w:r>
    </w:p>
    <w:p w14:paraId="00000045" w14:textId="77777777" w:rsidR="009D3403" w:rsidRDefault="00000000">
      <w:pPr>
        <w:spacing w:line="480" w:lineRule="auto"/>
        <w:ind w:firstLine="720"/>
      </w:pPr>
      <w:r>
        <w:t xml:space="preserve">More than 100 pregnant women in medical distress who sought help from emergency rooms were turned away or negligently treated since 2022 (Seitz, 2024). At the same time, criminalization has intensified: in the first year after </w:t>
      </w:r>
      <w:r>
        <w:rPr>
          <w:i/>
          <w:iCs/>
          <w:color w:val="000000"/>
        </w:rPr>
        <w:t>Dobbs</w:t>
      </w:r>
      <w:r>
        <w:t xml:space="preserve">, at least 210 people were charged with pregnancy-related offenses—the highest number ever recorded (Bach et al., 2024). Since Dobbs, numerous women experiencing miscarriage or stillbirth have been arrested and prosecuted. </w:t>
      </w:r>
    </w:p>
    <w:p w14:paraId="00000046" w14:textId="77777777" w:rsidR="009D3403" w:rsidRDefault="00000000">
      <w:pPr>
        <w:spacing w:line="480" w:lineRule="auto"/>
        <w:ind w:firstLine="720"/>
      </w:pPr>
      <w:r>
        <w:t>In one particularly cruel instance, in 2023, Brittany Watts repeatedly sought help when she began experiencing a stillbirth. Fearful of penalties for ending the pregnancy after </w:t>
      </w:r>
      <w:r>
        <w:rPr>
          <w:i/>
          <w:iCs/>
        </w:rPr>
        <w:t>Dobbs</w:t>
      </w:r>
      <w:r>
        <w:t>, doctors refused to treat her and sent her home where she gave birth to a stillborn. Brittany was denied care during her miscarriage, was arrested, and charged with the crime of abuse of a corpse. (Sherman, 2025). Longstanding criminal statutes are increasingly being used to punish pregnancy outcomes, including jailing those who have medication abortions.</w:t>
      </w:r>
    </w:p>
    <w:p w14:paraId="00000047" w14:textId="77777777" w:rsidR="009D3403" w:rsidRDefault="00000000">
      <w:pPr>
        <w:spacing w:line="480" w:lineRule="auto"/>
        <w:ind w:firstLine="720"/>
      </w:pPr>
      <w:r>
        <w:t>Legislatures are now moving to expand this framework further. Some states have proposed applying homicide laws to abortion, while others have criminalized abortion medications. What emerges is not only a restriction on abortion, but a broader and more insidious regime of surveillance, punishment, and control of pregnant people—where murderous misogyny meets and informs the laws governing women’s rights.</w:t>
      </w:r>
    </w:p>
    <w:p w14:paraId="00000048" w14:textId="77777777" w:rsidR="009D3403" w:rsidRDefault="00000000">
      <w:pPr>
        <w:spacing w:line="480" w:lineRule="auto"/>
        <w:ind w:firstLine="720"/>
        <w:rPr>
          <w:color w:val="000000"/>
        </w:rPr>
      </w:pPr>
      <w:r>
        <w:rPr>
          <w:color w:val="000000"/>
        </w:rPr>
        <w:lastRenderedPageBreak/>
        <w:t xml:space="preserve">Going forward, we can expect ongoing and increasing attempted attacks on abortion access including: a ban on the abortion medications (Misoprostol and Mifepristone); removal of the legal rights to medical care for women; efforts to restrict the right to travel for abortion; denial  of the right to confidentiality in medical information; enforcement of the 1873 Comstock Act prohibiting the use of the US mail to send “obscene” material – defined to include abortion, and efforts to enact a total, national ban of abortion in the U.S. </w:t>
      </w:r>
    </w:p>
    <w:p w14:paraId="00000049" w14:textId="77777777" w:rsidR="009D3403" w:rsidRDefault="009D3403">
      <w:pPr>
        <w:spacing w:line="480" w:lineRule="auto"/>
        <w:ind w:firstLine="720"/>
        <w:rPr>
          <w:color w:val="000000"/>
        </w:rPr>
      </w:pPr>
    </w:p>
    <w:p w14:paraId="0000004A" w14:textId="77777777" w:rsidR="009D3403" w:rsidRDefault="00000000">
      <w:pPr>
        <w:spacing w:line="480" w:lineRule="auto"/>
        <w:rPr>
          <w:b/>
          <w:bCs/>
          <w:color w:val="000000"/>
        </w:rPr>
      </w:pPr>
      <w:r>
        <w:rPr>
          <w:b/>
          <w:bCs/>
          <w:color w:val="000000"/>
        </w:rPr>
        <w:t>Women and Mental Health</w:t>
      </w:r>
    </w:p>
    <w:p w14:paraId="0000004B" w14:textId="77777777" w:rsidR="009D3403" w:rsidRDefault="00000000">
      <w:pPr>
        <w:spacing w:line="480" w:lineRule="auto"/>
        <w:rPr>
          <w:b/>
          <w:bCs/>
          <w:color w:val="000000"/>
        </w:rPr>
      </w:pPr>
      <w:r>
        <w:rPr>
          <w:color w:val="000000"/>
        </w:rPr>
        <w:t>Mental health is inextricable from physical health, inextricable from personhood.  Mental health is threatened in the absence of safety, when there is a physical or emotional threat.</w:t>
      </w:r>
      <w:r>
        <w:rPr>
          <w:b/>
          <w:bCs/>
          <w:color w:val="000000"/>
        </w:rPr>
        <w:t xml:space="preserve"> </w:t>
      </w:r>
      <w:r>
        <w:rPr>
          <w:color w:val="000000"/>
        </w:rPr>
        <w:t xml:space="preserve">Since </w:t>
      </w:r>
      <w:r>
        <w:rPr>
          <w:i/>
          <w:iCs/>
          <w:color w:val="000000"/>
        </w:rPr>
        <w:t>Dobbs</w:t>
      </w:r>
      <w:r>
        <w:rPr>
          <w:color w:val="000000"/>
        </w:rPr>
        <w:t xml:space="preserve">, abortion bans and restrictions have typically excluded mental illness and suicidal ideation from the definition of an “medical emergency,” the existence of which would otherwise allow someone to obtain an abortion despite the state’s ban on them.  </w:t>
      </w:r>
    </w:p>
    <w:p w14:paraId="0000004C" w14:textId="77777777" w:rsidR="009D3403" w:rsidRDefault="00000000">
      <w:pPr>
        <w:spacing w:line="480" w:lineRule="auto"/>
        <w:rPr>
          <w:color w:val="000000"/>
        </w:rPr>
      </w:pPr>
      <w:r>
        <w:rPr>
          <w:color w:val="000000"/>
        </w:rPr>
        <w:tab/>
        <w:t xml:space="preserve">With the Dobbs decision and with the erosion of protections for women, the threat now has been instantiated in the criminal justice system.  By its failure to recognize pregnant people, Dobbs does more than signify -it instantiates a blatant disregard of and threat to women’s health, including their mental health, as persons capable of independent decision making and action, and as persons worthy of protection under the law.   </w:t>
      </w:r>
    </w:p>
    <w:p w14:paraId="0000004D" w14:textId="77777777" w:rsidR="009D3403" w:rsidRDefault="00000000">
      <w:pPr>
        <w:spacing w:line="480" w:lineRule="auto"/>
        <w:ind w:firstLine="720"/>
      </w:pPr>
      <w:r>
        <w:t xml:space="preserve">At its core, misogyny rests on the belief that women are inferior, dangerous, or subordinate to men. This isn't random hostility — it operates through a worldview that assigns women a lesser moral, intellectual, or social status.  To not credence women’s decision making ability and to ignore their mental health is an erasure of their personhood, and this form of degradation is precisely how misogyny operates.  It degrades and attacks personhood; it demeans </w:t>
      </w:r>
      <w:r>
        <w:lastRenderedPageBreak/>
        <w:t xml:space="preserve">and disempowers; it has no regard for care. It is precisely the lack of care for women, including their debasement and degradation, that is used to justify removing the protections recognized by </w:t>
      </w:r>
      <w:r>
        <w:rPr>
          <w:i/>
          <w:iCs/>
        </w:rPr>
        <w:t>Roe</w:t>
      </w:r>
      <w:r>
        <w:t xml:space="preserve">.  </w:t>
      </w:r>
    </w:p>
    <w:p w14:paraId="0000004E" w14:textId="77777777" w:rsidR="009D3403" w:rsidRDefault="00000000">
      <w:pPr>
        <w:spacing w:line="480" w:lineRule="auto"/>
        <w:ind w:firstLine="720"/>
      </w:pPr>
      <w:r>
        <w:t>In 1971, abortion was illegal in most states and in the District of Columbia. Despite this, Dr. Milan Vuitch regularly performed abortions in Washington, D.C., until he was arrested for violating a statute that criminalized abortion unless necessary to preserve the life or health of the woman. Enacted in 1901, the law made such conduct a felony punishable by one to ten years in prison. Before trial, Dr, Vuitch moved to dismiss the charges, arguing that the statute was unconstitutionally vague. Specifically, he contended that the term “health” failed to provide clear notice of what conduct was criminal and offered no meaningful standard for juries. The trial court agreed, finding that “health” was so undefined that it was unclear whether it included mental as well as physical well-being, and dismissed the case.</w:t>
      </w:r>
    </w:p>
    <w:p w14:paraId="0000004F" w14:textId="77777777" w:rsidR="009D3403" w:rsidRDefault="00000000">
      <w:pPr>
        <w:spacing w:line="480" w:lineRule="auto"/>
        <w:ind w:firstLine="720"/>
      </w:pPr>
      <w:r>
        <w:t xml:space="preserve"> In 1971, the U.S. Supreme Court held that the term “health” was not impermissibly vague, and consistent with modern understanding, included psychological as well as physical well-being (</w:t>
      </w:r>
      <w:r>
        <w:rPr>
          <w:i/>
          <w:iCs/>
          <w:color w:val="000000"/>
          <w:highlight w:val="white"/>
        </w:rPr>
        <w:t>United States v. Vuitch</w:t>
      </w:r>
      <w:r>
        <w:t xml:space="preserve">, 1971). Two years later, in </w:t>
      </w:r>
      <w:r>
        <w:rPr>
          <w:i/>
          <w:iCs/>
          <w:color w:val="000000"/>
        </w:rPr>
        <w:t>Roe v. Wade</w:t>
      </w:r>
      <w:r>
        <w:t xml:space="preserve">, the Court affirmed a constitutional right to abortion, emphasizing that the protection of a woman’s life and health—including mental health—was central. Following the Supreme Court’s decision in </w:t>
      </w:r>
      <w:r>
        <w:rPr>
          <w:i/>
          <w:iCs/>
          <w:color w:val="000000"/>
        </w:rPr>
        <w:t>Roe</w:t>
      </w:r>
      <w:r>
        <w:t xml:space="preserve">, courts routinely struck down abortion restrictions that failed to include adequate life and health exceptions. Although </w:t>
      </w:r>
      <w:r>
        <w:rPr>
          <w:i/>
          <w:iCs/>
          <w:color w:val="000000"/>
        </w:rPr>
        <w:t>Planned Parenthood v. Casey</w:t>
      </w:r>
      <w:r>
        <w:t xml:space="preserve"> (1992) narrowed </w:t>
      </w:r>
      <w:r>
        <w:rPr>
          <w:i/>
          <w:iCs/>
          <w:color w:val="000000"/>
        </w:rPr>
        <w:t>Roe</w:t>
      </w:r>
      <w:r>
        <w:t>, it preserved the principle that laws imposing an “undue burden” must be evaluated in light of their impact on a woman’s health.</w:t>
      </w:r>
    </w:p>
    <w:p w14:paraId="00000050" w14:textId="77777777" w:rsidR="009D3403" w:rsidRDefault="00000000">
      <w:pPr>
        <w:pBdr>
          <w:top w:val="nil"/>
          <w:left w:val="nil"/>
          <w:bottom w:val="nil"/>
          <w:right w:val="nil"/>
          <w:between w:val="nil"/>
        </w:pBdr>
        <w:spacing w:before="280" w:after="280" w:line="480" w:lineRule="auto"/>
        <w:ind w:firstLine="720"/>
        <w:rPr>
          <w:color w:val="000000"/>
        </w:rPr>
      </w:pPr>
      <w:r>
        <w:rPr>
          <w:color w:val="000000"/>
        </w:rPr>
        <w:t xml:space="preserve">Unfortunately, this framework shifted in </w:t>
      </w:r>
      <w:r>
        <w:rPr>
          <w:i/>
          <w:iCs/>
          <w:color w:val="000000"/>
        </w:rPr>
        <w:t>Gonzales v. Carhart</w:t>
      </w:r>
      <w:r>
        <w:rPr>
          <w:color w:val="000000"/>
        </w:rPr>
        <w:t xml:space="preserve"> (2006), when, for the first time since </w:t>
      </w:r>
      <w:r>
        <w:rPr>
          <w:i/>
          <w:iCs/>
          <w:color w:val="000000"/>
        </w:rPr>
        <w:t>Roe</w:t>
      </w:r>
      <w:r>
        <w:rPr>
          <w:color w:val="000000"/>
        </w:rPr>
        <w:t xml:space="preserve">, the Court upheld a ban on a particular kind of abortion that lacked an exception </w:t>
      </w:r>
      <w:r>
        <w:rPr>
          <w:color w:val="000000"/>
        </w:rPr>
        <w:lastRenderedPageBreak/>
        <w:t>even for the woman’s physical health. In the years that followed, numerous states enacted laws that precluded consideration of women’s mental health as a basis for allowing access to needed abortion care. This deliberate devaluation of women’s psychological lives treats their mental health as unimportant or irrelevant. They also ignore the documented relationship between abortion restrictions and suicide. For example, in El Salvador, where abortion is banned under all circumstances, suicide is a leading cause of maternal death, and a significant proportion of teenage girls who die by suicide are pregnant (Moloney, 2014).</w:t>
      </w:r>
    </w:p>
    <w:p w14:paraId="00000051" w14:textId="77777777" w:rsidR="009D3403" w:rsidRDefault="00000000">
      <w:pPr>
        <w:spacing w:line="480" w:lineRule="auto"/>
        <w:rPr>
          <w:color w:val="000000"/>
          <w:u w:val="single"/>
        </w:rPr>
      </w:pPr>
      <w:r>
        <w:rPr>
          <w:color w:val="000000"/>
        </w:rPr>
        <w:t xml:space="preserve"> </w:t>
      </w:r>
    </w:p>
    <w:p w14:paraId="00000052" w14:textId="77777777" w:rsidR="009D3403" w:rsidRDefault="00000000">
      <w:pPr>
        <w:spacing w:line="480" w:lineRule="auto"/>
        <w:rPr>
          <w:b/>
          <w:bCs/>
          <w:color w:val="000000"/>
        </w:rPr>
      </w:pPr>
      <w:r>
        <w:rPr>
          <w:b/>
          <w:bCs/>
          <w:color w:val="000000"/>
        </w:rPr>
        <w:t>Women’s mental health as a “loophole” and evidence of “bad faith” (no pun intended).</w:t>
      </w:r>
    </w:p>
    <w:p w14:paraId="00000053" w14:textId="77777777" w:rsidR="009D3403" w:rsidRDefault="00000000">
      <w:pPr>
        <w:pBdr>
          <w:top w:val="nil"/>
          <w:left w:val="nil"/>
          <w:bottom w:val="nil"/>
          <w:right w:val="nil"/>
          <w:between w:val="nil"/>
        </w:pBdr>
        <w:spacing w:before="280" w:after="280" w:line="480" w:lineRule="auto"/>
        <w:rPr>
          <w:color w:val="000000"/>
        </w:rPr>
      </w:pPr>
      <w:r>
        <w:rPr>
          <w:color w:val="000000"/>
        </w:rPr>
        <w:t>For legislators and advocates who oppose abortion, exceptions to abortion laws for mental health reasons are framed as illegitimate “loopholes” that would allow unrestricted access to abortion care. The National Right to Life Committee, for example, excludes mental health from its model legislation, arguing that conditions such as anxiety and depression are treatable and therefore should not justify abortion (Fernando, 2024).</w:t>
      </w:r>
    </w:p>
    <w:p w14:paraId="00000054" w14:textId="77777777" w:rsidR="009D3403" w:rsidRDefault="00000000">
      <w:pPr>
        <w:pBdr>
          <w:top w:val="nil"/>
          <w:left w:val="nil"/>
          <w:bottom w:val="nil"/>
          <w:right w:val="nil"/>
          <w:between w:val="nil"/>
        </w:pBdr>
        <w:spacing w:before="280" w:after="280" w:line="480" w:lineRule="auto"/>
        <w:ind w:firstLine="720"/>
        <w:rPr>
          <w:color w:val="000000"/>
        </w:rPr>
      </w:pPr>
      <w:r>
        <w:rPr>
          <w:color w:val="000000"/>
        </w:rPr>
        <w:t>This position reflects a broader pattern. Anti-abortion advocates consistently argue that exceptions based on mental health, rape, or incest will be misused, and therefore require verification mechanisms such as police reports that function as barriers to care. Underlying these policies is a deeply ingrained suspicion of women’s accounts of their own experience, as well as a refusal to recognize the psychological consequences of pregnancy, violence, coercion, and rape.</w:t>
      </w:r>
    </w:p>
    <w:p w14:paraId="00000055" w14:textId="77777777" w:rsidR="009D3403" w:rsidRDefault="00000000">
      <w:pPr>
        <w:pBdr>
          <w:top w:val="nil"/>
          <w:left w:val="nil"/>
          <w:bottom w:val="nil"/>
          <w:right w:val="nil"/>
          <w:between w:val="nil"/>
        </w:pBdr>
        <w:spacing w:before="280" w:after="280" w:line="480" w:lineRule="auto"/>
        <w:ind w:firstLine="720"/>
        <w:rPr>
          <w:color w:val="000000"/>
        </w:rPr>
      </w:pPr>
      <w:r>
        <w:rPr>
          <w:color w:val="000000"/>
        </w:rPr>
        <w:lastRenderedPageBreak/>
        <w:t>The exclusion of mental health from legal protections is not incidental. It reflects a systematic devaluation of women’s subjective lives—treating psychological suffering as negligible, manipulated, or unworthy of legal recognition. In this framework, women’s interior experiences are rendered suspect, while state authority is elevated to be the arbiter of truth and necessity.</w:t>
      </w:r>
    </w:p>
    <w:p w14:paraId="00000056" w14:textId="77777777" w:rsidR="009D3403" w:rsidRDefault="00000000">
      <w:pPr>
        <w:spacing w:line="480" w:lineRule="auto"/>
        <w:ind w:firstLine="720"/>
        <w:rPr>
          <w:color w:val="000000"/>
          <w:highlight w:val="white"/>
        </w:rPr>
      </w:pPr>
      <w:r>
        <w:rPr>
          <w:color w:val="000000"/>
        </w:rPr>
        <w:t xml:space="preserve">Concerns about the misuse of a common exception to abortion bans—pregnancies resulting from rape or incest—are structured in ways that assume such claims will also be abused as loopholes. These exceptions typically require proof of assault, often in the form of a police report filed within a limited time frame. </w:t>
      </w:r>
      <w:r>
        <w:rPr>
          <w:color w:val="000000"/>
          <w:highlight w:val="white"/>
        </w:rPr>
        <w:t>Those who work with sexual assault victims say a requirement to report to law enforcement is one of the steepest barriers for those who seek abortions. About two-thirds of victims </w:t>
      </w:r>
      <w:hyperlink r:id="rId7">
        <w:r>
          <w:rPr>
            <w:color w:val="000000"/>
            <w:highlight w:val="white"/>
          </w:rPr>
          <w:t>do not report</w:t>
        </w:r>
      </w:hyperlink>
      <w:r>
        <w:rPr>
          <w:color w:val="000000"/>
          <w:highlight w:val="white"/>
        </w:rPr>
        <w:t> to law enforcement; many know their abuser and worry about the consequences (Schoenfeld Walker, 2023).</w:t>
      </w:r>
    </w:p>
    <w:p w14:paraId="00000057" w14:textId="77777777" w:rsidR="009D3403" w:rsidRDefault="009D3403">
      <w:pPr>
        <w:spacing w:line="480" w:lineRule="auto"/>
        <w:ind w:firstLine="720"/>
        <w:rPr>
          <w:color w:val="000000"/>
          <w:highlight w:val="white"/>
        </w:rPr>
      </w:pPr>
    </w:p>
    <w:p w14:paraId="00000058" w14:textId="77777777" w:rsidR="009D3403" w:rsidRDefault="00000000">
      <w:pPr>
        <w:spacing w:line="480" w:lineRule="auto"/>
        <w:rPr>
          <w:b/>
          <w:bCs/>
          <w:color w:val="000000"/>
          <w:highlight w:val="white"/>
        </w:rPr>
      </w:pPr>
      <w:r>
        <w:rPr>
          <w:b/>
          <w:bCs/>
          <w:color w:val="000000"/>
          <w:highlight w:val="white"/>
        </w:rPr>
        <w:t>Misogyny Deems Women as Suspect</w:t>
      </w:r>
    </w:p>
    <w:p w14:paraId="00000059" w14:textId="77777777" w:rsidR="009D3403" w:rsidRDefault="00000000">
      <w:pPr>
        <w:spacing w:line="480" w:lineRule="auto"/>
        <w:rPr>
          <w:color w:val="000000"/>
        </w:rPr>
      </w:pPr>
      <w:r>
        <w:rPr>
          <w:color w:val="000000"/>
          <w:highlight w:val="white"/>
        </w:rPr>
        <w:t xml:space="preserve">We take for granted that women in our culture are under suspicion and not to be trusted.  Given this common and longstanding misogynist prejudice, it follows then that women have an uphill battle proving they have been abused. Their stories are assumed to be untrustworthy or faulty, and they know in advance they will be considered guilty until proven innocent.  They will be grilled, exposed, insulted and disbelieved.  After the court’s reversal of </w:t>
      </w:r>
      <w:r>
        <w:rPr>
          <w:i/>
          <w:iCs/>
          <w:color w:val="000000"/>
          <w:highlight w:val="white"/>
        </w:rPr>
        <w:t>Roe</w:t>
      </w:r>
      <w:r>
        <w:rPr>
          <w:color w:val="000000"/>
          <w:highlight w:val="white"/>
        </w:rPr>
        <w:t xml:space="preserve"> and its protections,</w:t>
      </w:r>
      <w:r>
        <w:rPr>
          <w:color w:val="000000"/>
        </w:rPr>
        <w:t xml:space="preserve"> the socially reinforced suspicion of women now pervades a woman’s decision to terminate a pregnancy and it colors whether or not she will be criminalized for her choice.  Since women cannot be trusted to recount their own experiences honestly, the state substitutes its judgement for the individual woman’s. The attack on a woman’s integrity precedes her narrative, shapes </w:t>
      </w:r>
      <w:r>
        <w:rPr>
          <w:color w:val="000000"/>
        </w:rPr>
        <w:lastRenderedPageBreak/>
        <w:t>how it is received, and informs policy. The State values what is expedient and pregnancy is messy; subjective experience is messy.   In this sense, the legal treatment of abortion is not simply about regulating a medical procedure. It is part of a wider structure in which women’s autonomy, credibility, and well-being are persistently called into question and undermined. The result is a system in which harm is not accidental but built into the framework itself.</w:t>
      </w:r>
    </w:p>
    <w:p w14:paraId="0000005A" w14:textId="77777777" w:rsidR="009D3403" w:rsidRDefault="00000000">
      <w:pPr>
        <w:pBdr>
          <w:top w:val="nil"/>
          <w:left w:val="nil"/>
          <w:bottom w:val="nil"/>
          <w:right w:val="nil"/>
          <w:between w:val="nil"/>
        </w:pBdr>
        <w:spacing w:before="280" w:after="280" w:line="480" w:lineRule="auto"/>
        <w:ind w:firstLine="720"/>
        <w:rPr>
          <w:color w:val="000000"/>
        </w:rPr>
      </w:pPr>
      <w:r>
        <w:rPr>
          <w:color w:val="000000"/>
        </w:rPr>
        <w:t xml:space="preserve">We want to argue that the assumptions about women underlying </w:t>
      </w:r>
      <w:r>
        <w:rPr>
          <w:i/>
          <w:iCs/>
          <w:color w:val="000000"/>
        </w:rPr>
        <w:t>Dobbs</w:t>
      </w:r>
      <w:r>
        <w:rPr>
          <w:color w:val="000000"/>
        </w:rPr>
        <w:t xml:space="preserve"> open the door to criminalizing women for having abortions.  These restrictions on reproductive freedoms have much in common with the underlying and prevailing norms that legitimize sexual violence and discredit women’s capacities to tell the truth about what has happened to them.  We are familiar with the risks a woman assumes when she comes forward to testify about sexual violence or rape.  She will be subject to her reputation being "dragged through the mud"-- she will be on trial, the burden of proof on her, not on her perpetrator.  We know that for this reason, sexual assault is massively underreported in this country.  Estimates suggesting that over 60% to 95% of cases are never reported to law enforcement</w:t>
      </w:r>
      <w:r>
        <w:rPr>
          <w:color w:val="000000"/>
          <w:highlight w:val="white"/>
        </w:rPr>
        <w:t>. Reasons for underreporting include </w:t>
      </w:r>
      <w:r>
        <w:rPr>
          <w:color w:val="000000"/>
        </w:rPr>
        <w:t>shame, fear of retaliation, distrust of police, and believing the incident was not important enough</w:t>
      </w:r>
      <w:r>
        <w:rPr>
          <w:color w:val="000000"/>
          <w:highlight w:val="white"/>
        </w:rPr>
        <w:t>. Survivors often cite fear of being blamed or not being believed, with many cases being unjustly labeled as "unfounded" (Brennan Center for Justice, 2025)</w:t>
      </w:r>
    </w:p>
    <w:p w14:paraId="0000005B" w14:textId="77777777" w:rsidR="009D3403" w:rsidRDefault="00000000">
      <w:pPr>
        <w:spacing w:line="480" w:lineRule="auto"/>
        <w:ind w:firstLine="720"/>
        <w:rPr>
          <w:color w:val="000000"/>
        </w:rPr>
      </w:pPr>
      <w:r>
        <w:rPr>
          <w:color w:val="000000"/>
        </w:rPr>
        <w:t xml:space="preserve">The overturning of </w:t>
      </w:r>
      <w:r>
        <w:rPr>
          <w:i/>
          <w:iCs/>
          <w:color w:val="000000"/>
        </w:rPr>
        <w:t>Roe</w:t>
      </w:r>
      <w:r>
        <w:rPr>
          <w:color w:val="000000"/>
        </w:rPr>
        <w:t xml:space="preserve"> chimes perfectly with the current Epstein era of immunity and normalization of sexual violence toward women.  The Epstein scandal (2008, 2022, 2026) involving the sexual abuse and trafficking of women, including minor girls, serves as the most extreme example of the silencing of women and the climate of suspicion that surrounds their claims. As Claire Wilmot argues in a 2026 opinion piece for </w:t>
      </w:r>
      <w:r>
        <w:rPr>
          <w:i/>
          <w:iCs/>
          <w:color w:val="000000"/>
        </w:rPr>
        <w:t>The New York Times</w:t>
      </w:r>
      <w:r>
        <w:rPr>
          <w:color w:val="000000"/>
        </w:rPr>
        <w:t xml:space="preserve">, the Epstein </w:t>
      </w:r>
      <w:r>
        <w:rPr>
          <w:color w:val="000000"/>
        </w:rPr>
        <w:lastRenderedPageBreak/>
        <w:t>emails reveal how Epstein cultivated a climate of skepticism around all women who made claims against men of sexual improprieties, rape and assault. The cultivation of skepticism toward women’s claims allows perpetrators to evade accountability; if a victim can be cast as unreliable, her testimony is neutralized before it is heard.</w:t>
      </w:r>
    </w:p>
    <w:p w14:paraId="0000005C" w14:textId="77777777" w:rsidR="009D3403" w:rsidRDefault="00000000">
      <w:pPr>
        <w:spacing w:line="480" w:lineRule="auto"/>
        <w:ind w:firstLine="720"/>
        <w:rPr>
          <w:color w:val="000000"/>
        </w:rPr>
      </w:pPr>
      <w:r>
        <w:rPr>
          <w:color w:val="000000"/>
        </w:rPr>
        <w:t xml:space="preserve"> As a result, sexual assaults remain vastly underreported to the police </w:t>
      </w:r>
      <w:r>
        <w:rPr>
          <w:color w:val="000000"/>
          <w:highlight w:val="white"/>
        </w:rPr>
        <w:t xml:space="preserve">(around three-quarters of sexual assaults in the United States). </w:t>
      </w:r>
      <w:r>
        <w:rPr>
          <w:color w:val="000000"/>
        </w:rPr>
        <w:t xml:space="preserve">Additionally, the </w:t>
      </w:r>
      <w:r>
        <w:rPr>
          <w:color w:val="000000"/>
          <w:highlight w:val="white"/>
        </w:rPr>
        <w:t>data show false reports of assault and rape are rare, generally 2 percent to 5 percent. (Wilmot, 2026).  In this way, fear of false accusation becomes a tool for silencing, despite the overwhelming evidence that underreporting – not false reporting – is the dominant reality. Moreover, men of Mr. Epstein’s class are among the least likely to be prosecuted as a result of false allegations — exoneration data in the United States shows victims of this sort of miscarriage of justice are disproportionately Black and poor (Wilmont, 2026).</w:t>
      </w:r>
    </w:p>
    <w:p w14:paraId="0000005D" w14:textId="77777777" w:rsidR="009D3403" w:rsidRDefault="00000000">
      <w:pPr>
        <w:spacing w:line="480" w:lineRule="auto"/>
        <w:ind w:firstLine="720"/>
        <w:rPr>
          <w:color w:val="000000"/>
        </w:rPr>
      </w:pPr>
      <w:r>
        <w:rPr>
          <w:color w:val="000000"/>
        </w:rPr>
        <w:t xml:space="preserve">When abortion access is restricted by requiring women to meet very narrow exceptions, or when women have to prove their “innocence” in court because their pregnancy is a result of incest or rape, internalized prejudicial suspicions have triumphed over reason.  This is the work of misogyny as an internalized form of structured hatred.  As Wilmot says, “If you can transform a victim into a liar, you can cut out her tongue for good”—meaning she has no chance of representing herself because her words are invalidated even before she speaks.  This climate of doubt and suspicion impacts the outcome for women as they navigate the new world of </w:t>
      </w:r>
      <w:r>
        <w:rPr>
          <w:i/>
          <w:iCs/>
          <w:color w:val="000000"/>
        </w:rPr>
        <w:t>Dobbs</w:t>
      </w:r>
      <w:r>
        <w:rPr>
          <w:color w:val="000000"/>
        </w:rPr>
        <w:t>.  The underlying cruelty at work in some of the new measures is unmistakably present.</w:t>
      </w:r>
    </w:p>
    <w:p w14:paraId="0000005E" w14:textId="77777777" w:rsidR="009D3403" w:rsidRDefault="009D3403">
      <w:pPr>
        <w:spacing w:line="480" w:lineRule="auto"/>
        <w:ind w:firstLine="720"/>
        <w:rPr>
          <w:color w:val="000000"/>
        </w:rPr>
      </w:pPr>
    </w:p>
    <w:p w14:paraId="0000005F" w14:textId="77777777" w:rsidR="009D3403" w:rsidRDefault="00000000">
      <w:pPr>
        <w:spacing w:line="480" w:lineRule="auto"/>
        <w:rPr>
          <w:color w:val="000000"/>
        </w:rPr>
      </w:pPr>
      <w:r>
        <w:rPr>
          <w:color w:val="000000"/>
        </w:rPr>
        <w:tab/>
        <w:t xml:space="preserve">This pattern must be understood within a broader context of gendered power. The regulation of pregnancy increasingly extends beyond the restriction of abortion to encompass the </w:t>
      </w:r>
      <w:r>
        <w:rPr>
          <w:color w:val="000000"/>
        </w:rPr>
        <w:lastRenderedPageBreak/>
        <w:t xml:space="preserve">control of women’s bodies and experiences more generally. </w:t>
      </w:r>
      <w:r>
        <w:rPr>
          <w:color w:val="000000"/>
          <w:highlight w:val="white"/>
        </w:rPr>
        <w:t>Within the anti-abortion movement these harms are being codified by a MAGA supreme court, licensed by a president whose administration is currently (2026) in the thick of the Epstein scandal for protecting a web of elites who debase, violate, rape and possibly murder young women and girls.</w:t>
      </w:r>
      <w:r>
        <w:rPr>
          <w:color w:val="000000"/>
        </w:rPr>
        <w:t xml:space="preserve"> Not surprisingly, this scandal has generated its own aura of suspicion about the very girls and women who have been abused – not by the men who victimized them. The widespread consequences are clear:  the underlying premise that women are not to be trusted morphs into a systematic delegitimization of women’s suffering.  Consequentially, including concern for a woman’s mental health is treated as a “loophole”, rather than a way to legitimatize their lives. The removal of a standard for mental health protections leads to the normalization of policies that expose women to harm while offering no protection from that harm.</w:t>
      </w:r>
    </w:p>
    <w:p w14:paraId="00000060" w14:textId="77777777" w:rsidR="009D3403" w:rsidRDefault="00000000">
      <w:pPr>
        <w:pBdr>
          <w:top w:val="nil"/>
          <w:left w:val="nil"/>
          <w:bottom w:val="nil"/>
          <w:right w:val="nil"/>
          <w:between w:val="nil"/>
        </w:pBdr>
        <w:spacing w:before="280" w:after="280" w:line="480" w:lineRule="auto"/>
        <w:rPr>
          <w:color w:val="000000"/>
        </w:rPr>
      </w:pPr>
      <w:r>
        <w:rPr>
          <w:color w:val="000000"/>
        </w:rPr>
        <w:t xml:space="preserve">       Now only 13 states include a broader health exception, and 22 explicitly restrict such exceptions to threats to physical health alone - defined in some cases as impairment of major bodily functions. Mental and emotional conditions are routinely excluded from consideration. State laws make this exclusion explicit. For example, Georgia’s House Bill 481 is explicit in excluding mental health emergencies and suicidal intent from abortion exceptions. Similarly, Tennessee law permits emergency abortions only to prevent death or impairment of a major bodily function, explicitly excluding psychological or emotional conditions. As a result, mental health is systematically removed from the legal framework governing abortion access, despite its recognized role in overall health.</w:t>
      </w:r>
    </w:p>
    <w:p w14:paraId="00000061" w14:textId="77777777" w:rsidR="009D3403" w:rsidRDefault="009D3403">
      <w:pPr>
        <w:pBdr>
          <w:top w:val="nil"/>
          <w:left w:val="nil"/>
          <w:bottom w:val="nil"/>
          <w:right w:val="nil"/>
          <w:between w:val="nil"/>
        </w:pBdr>
        <w:spacing w:before="280" w:after="280" w:line="480" w:lineRule="auto"/>
        <w:rPr>
          <w:color w:val="000000"/>
        </w:rPr>
      </w:pPr>
    </w:p>
    <w:p w14:paraId="00000062" w14:textId="77777777" w:rsidR="009D3403" w:rsidRDefault="00000000">
      <w:pPr>
        <w:spacing w:line="480" w:lineRule="auto"/>
        <w:rPr>
          <w:color w:val="000000"/>
        </w:rPr>
      </w:pPr>
      <w:r>
        <w:rPr>
          <w:b/>
          <w:bCs/>
          <w:color w:val="000000"/>
        </w:rPr>
        <w:t>Conclusion</w:t>
      </w:r>
    </w:p>
    <w:p w14:paraId="00000063" w14:textId="77777777" w:rsidR="009D3403" w:rsidRDefault="00000000">
      <w:pPr>
        <w:spacing w:line="480" w:lineRule="auto"/>
        <w:rPr>
          <w:color w:val="000000"/>
        </w:rPr>
      </w:pPr>
      <w:r>
        <w:rPr>
          <w:color w:val="000000"/>
        </w:rPr>
        <w:lastRenderedPageBreak/>
        <w:t xml:space="preserve">In this paper, we have hoped to bring together our understanding of misogyny and, the ways that sexual violence toward women is increasingly tolerated and normalized in the culture. Dobbs thus represents a brutal reordering of care for pregnant persons in our society – the elimination of constitutional protections for a whole class of persons.  In effect, now there is a different, subordinate class of persons who are not granted constitutional protections under the law.  This must be understood to be as an expression of sexual violence toward women, the workings of a foundational underlying murderous misogyny at the heart of cultural ideology and practice.  </w:t>
      </w:r>
    </w:p>
    <w:p w14:paraId="00000064" w14:textId="77777777" w:rsidR="009D3403" w:rsidRDefault="00000000">
      <w:pPr>
        <w:spacing w:line="480" w:lineRule="auto"/>
        <w:ind w:firstLine="720"/>
        <w:rPr>
          <w:color w:val="000000"/>
        </w:rPr>
      </w:pPr>
      <w:r>
        <w:rPr>
          <w:color w:val="000000"/>
        </w:rPr>
        <w:t xml:space="preserve">We have argued that the misogyny that drives the overturning of </w:t>
      </w:r>
      <w:r>
        <w:rPr>
          <w:i/>
          <w:iCs/>
          <w:color w:val="000000"/>
        </w:rPr>
        <w:t>Roe v. Wade</w:t>
      </w:r>
      <w:r>
        <w:rPr>
          <w:color w:val="000000"/>
        </w:rPr>
        <w:t xml:space="preserve"> is concurrent with the two Trump administrations and the MAGA courts.  It is alive and well in the protection of elite men who are implicated in the Epstein files. It is alive and well in the attack on reproductive freedom and justice.  </w:t>
      </w:r>
    </w:p>
    <w:p w14:paraId="00000065" w14:textId="77777777" w:rsidR="009D3403" w:rsidRDefault="00000000">
      <w:pPr>
        <w:spacing w:line="480" w:lineRule="auto"/>
        <w:ind w:firstLine="720"/>
        <w:rPr>
          <w:color w:val="000000"/>
        </w:rPr>
      </w:pPr>
      <w:r>
        <w:rPr>
          <w:color w:val="000000"/>
        </w:rPr>
        <w:t xml:space="preserve">In this paper, we have sought to understand the expressions of this misogyny at work in the legal decisions that, in the guise of protecting the rights of the unborn, negate and subordinate the health and rights of women.  The criminalization of abortion and the possible punishment of both pregnant persons and abortion providers is rampant in the changed landscape brought on by the Dobbs decision. Woven into the pro-life narrative is the assurance that a woman seeking to terminate pregnancy is anti-life and should be regarded as a murderer.  People seeking abortions are now dehumanized and increasingly likely to be criminalized against a backdrop of deep suspicion and mistrust.    </w:t>
      </w:r>
    </w:p>
    <w:p w14:paraId="00000066" w14:textId="77777777" w:rsidR="009D3403" w:rsidRDefault="00000000">
      <w:pPr>
        <w:spacing w:line="480" w:lineRule="auto"/>
        <w:ind w:firstLine="720"/>
        <w:rPr>
          <w:color w:val="000000"/>
        </w:rPr>
      </w:pPr>
      <w:r>
        <w:rPr>
          <w:color w:val="000000"/>
        </w:rPr>
        <w:t xml:space="preserve">We have examined the shifts in protections for a woman’s mental health and the implications of this with regard to legal protections for women and pregnant persons.  An implication of this change is that now women may be positioned as liars who will deceive the </w:t>
      </w:r>
      <w:r>
        <w:rPr>
          <w:color w:val="000000"/>
        </w:rPr>
        <w:lastRenderedPageBreak/>
        <w:t>court in order to qualify for the legal exceptions in order to obtain care. This suspicion is well-honed and has recently been re-enlivened in the Epstein scandal.</w:t>
      </w:r>
    </w:p>
    <w:p w14:paraId="00000067" w14:textId="77777777" w:rsidR="009D3403" w:rsidRDefault="00000000">
      <w:pPr>
        <w:spacing w:line="480" w:lineRule="auto"/>
        <w:rPr>
          <w:color w:val="000000"/>
        </w:rPr>
      </w:pPr>
      <w:r>
        <w:rPr>
          <w:color w:val="000000"/>
        </w:rPr>
        <w:tab/>
        <w:t xml:space="preserve">We have included here a psychoanalytic perspective in tandem with the legal realities that can help us think about the underlying misogyny that fuels the overturning of </w:t>
      </w:r>
      <w:r>
        <w:rPr>
          <w:i/>
          <w:iCs/>
          <w:color w:val="000000"/>
        </w:rPr>
        <w:t>Roe</w:t>
      </w:r>
      <w:r>
        <w:rPr>
          <w:color w:val="000000"/>
        </w:rPr>
        <w:t xml:space="preserve">.  Misogyny is at once a private matter and a force that underpins and ripples across cultural and social institutions.  It is both a privately structured and socially structured form of hatred of women that reinforces the patriarchal system.  On a social scale, misogyny leaks into our legal system much as racism does.  Dobbs represents a glaring example of this.  </w:t>
      </w:r>
    </w:p>
    <w:p w14:paraId="00000068" w14:textId="77777777" w:rsidR="009D3403" w:rsidRDefault="00000000">
      <w:pPr>
        <w:spacing w:line="480" w:lineRule="auto"/>
        <w:ind w:firstLine="720"/>
        <w:rPr>
          <w:color w:val="000000"/>
        </w:rPr>
      </w:pPr>
      <w:r>
        <w:rPr>
          <w:color w:val="000000"/>
        </w:rPr>
        <w:t xml:space="preserve">At a moment when there is no one obvious feminist movement to turn to in the United States, when “trad wives” are on the rise, when the conservative backlash against feminism is prominent, when the attack on women’s freedom and value is widespread and blatant, it can be hard to know how “knowing” any of this can help.  But a psychoanalytic perspective can offer a way of understanding how the underlying private, individual psychical forces and phantasies contribute to and reinforce the misogynist trends at work in our social worlds. </w:t>
      </w:r>
    </w:p>
    <w:p w14:paraId="00000069" w14:textId="77777777" w:rsidR="009D3403" w:rsidRDefault="00000000">
      <w:pPr>
        <w:spacing w:line="480" w:lineRule="auto"/>
        <w:ind w:firstLine="720"/>
        <w:rPr>
          <w:color w:val="000000"/>
        </w:rPr>
      </w:pPr>
      <w:r>
        <w:rPr>
          <w:color w:val="000000"/>
        </w:rPr>
        <w:t xml:space="preserve"> Misogyny has its roots in the earliest moments of life.  The hatred of women goes way back, both historically and developmentally. The wish to possess the mother is as old as motherhood itself.  </w:t>
      </w:r>
    </w:p>
    <w:p w14:paraId="0000006A" w14:textId="77777777" w:rsidR="009D3403" w:rsidRDefault="00000000">
      <w:pPr>
        <w:spacing w:line="480" w:lineRule="auto"/>
        <w:ind w:firstLine="720"/>
        <w:rPr>
          <w:color w:val="000000"/>
        </w:rPr>
      </w:pPr>
      <w:r>
        <w:rPr>
          <w:color w:val="000000"/>
        </w:rPr>
        <w:t xml:space="preserve">This paper argues that the social and sexual violence toward women at a personal level – evident in cases such as Trump’s legal liability for sexual abuse, reports of other cabinet members who have histories of sexual harassment, and the Epstein network - is reinforced in a widespread social crackdown on women’s reproductive freedom. This convergence reaches to the heart of women’s autonomy and choice and ultimately becomes—as it always does—an attack on their credibility.  Thus, the intersection of the political, social, and psychic realities </w:t>
      </w:r>
      <w:r>
        <w:rPr>
          <w:color w:val="000000"/>
        </w:rPr>
        <w:lastRenderedPageBreak/>
        <w:t>underpinning misogyny has enormous legal implications beyond abortion and extend to the status of women and their constitutional protections in the United States.</w:t>
      </w:r>
    </w:p>
    <w:p w14:paraId="0000006B" w14:textId="77777777" w:rsidR="009D3403" w:rsidRDefault="00000000">
      <w:pPr>
        <w:spacing w:line="480" w:lineRule="auto"/>
        <w:ind w:firstLine="720"/>
        <w:rPr>
          <w:color w:val="000000"/>
        </w:rPr>
      </w:pPr>
      <w:r>
        <w:rPr>
          <w:color w:val="000000"/>
        </w:rPr>
        <w:t xml:space="preserve">We believe it is extremely important that we be able to join together in fighting these attacks on our credibility, constitutional protections, and our reproductive freedom.  Naming misogyny and understanding its origins, which psychoanalysis can help us do, is one way of combating our own sense of private helplessness in response to such overwhelming cynicism and violence.  </w:t>
      </w:r>
    </w:p>
    <w:p w14:paraId="0000006C" w14:textId="77777777" w:rsidR="009D3403" w:rsidRDefault="009D3403">
      <w:pPr>
        <w:spacing w:line="480" w:lineRule="auto"/>
        <w:rPr>
          <w:color w:val="000000"/>
        </w:rPr>
      </w:pPr>
    </w:p>
    <w:p w14:paraId="0000006D" w14:textId="77777777" w:rsidR="009D3403" w:rsidRDefault="00000000">
      <w:pPr>
        <w:spacing w:line="480" w:lineRule="auto"/>
        <w:rPr>
          <w:color w:val="000000"/>
          <w:u w:val="single"/>
        </w:rPr>
      </w:pPr>
      <w:r>
        <w:rPr>
          <w:color w:val="000000"/>
          <w:u w:val="single"/>
        </w:rPr>
        <w:t>References</w:t>
      </w:r>
    </w:p>
    <w:p w14:paraId="0000006E" w14:textId="77777777" w:rsidR="009D3403" w:rsidRDefault="00000000">
      <w:pPr>
        <w:pBdr>
          <w:top w:val="nil"/>
          <w:left w:val="nil"/>
          <w:bottom w:val="nil"/>
          <w:right w:val="nil"/>
          <w:between w:val="nil"/>
        </w:pBdr>
        <w:rPr>
          <w:color w:val="000000"/>
        </w:rPr>
      </w:pPr>
      <w:r>
        <w:rPr>
          <w:color w:val="000000"/>
        </w:rPr>
        <w:t xml:space="preserve">Bach, W. A., &amp; Wasilczuk, M. K. (2024, September 24). </w:t>
      </w:r>
      <w:r>
        <w:rPr>
          <w:i/>
          <w:iCs/>
          <w:color w:val="000000"/>
        </w:rPr>
        <w:t>Pregnancy as a crime: A preliminary report on the first year after Dobbs.</w:t>
      </w:r>
    </w:p>
    <w:p w14:paraId="0000006F" w14:textId="77777777" w:rsidR="009D3403" w:rsidRDefault="00000000">
      <w:pPr>
        <w:pBdr>
          <w:top w:val="nil"/>
          <w:left w:val="nil"/>
          <w:bottom w:val="nil"/>
          <w:right w:val="nil"/>
          <w:between w:val="nil"/>
        </w:pBdr>
        <w:rPr>
          <w:color w:val="000000"/>
        </w:rPr>
      </w:pPr>
      <w:r>
        <w:rPr>
          <w:color w:val="000000"/>
        </w:rPr>
        <w:t>Bennett v. Collier, 95 S.W.3d 782 (Ark. 2003).</w:t>
      </w:r>
    </w:p>
    <w:p w14:paraId="00000070" w14:textId="77777777" w:rsidR="009D3403" w:rsidRDefault="00000000">
      <w:pPr>
        <w:pBdr>
          <w:top w:val="nil"/>
          <w:left w:val="nil"/>
          <w:bottom w:val="nil"/>
          <w:right w:val="nil"/>
          <w:between w:val="nil"/>
        </w:pBdr>
        <w:rPr>
          <w:color w:val="000000"/>
        </w:rPr>
      </w:pPr>
      <w:r>
        <w:rPr>
          <w:color w:val="000000"/>
        </w:rPr>
        <w:t>Broward Medical Center v. Okonewski, 46 Fl. Cir. C. 120 (1977).</w:t>
      </w:r>
    </w:p>
    <w:p w14:paraId="00000071" w14:textId="77777777" w:rsidR="009D3403" w:rsidRDefault="00000000">
      <w:pPr>
        <w:pBdr>
          <w:top w:val="nil"/>
          <w:left w:val="nil"/>
          <w:bottom w:val="nil"/>
          <w:right w:val="nil"/>
          <w:between w:val="nil"/>
        </w:pBdr>
        <w:rPr>
          <w:color w:val="000000"/>
        </w:rPr>
      </w:pPr>
      <w:r>
        <w:rPr>
          <w:color w:val="000000"/>
        </w:rPr>
        <w:t>Carroll v. Trump, No. 22-CV-10016 (S.D.N.Y. May 9, 2023).</w:t>
      </w:r>
    </w:p>
    <w:p w14:paraId="00000072" w14:textId="77777777" w:rsidR="009D3403" w:rsidRDefault="00000000">
      <w:pPr>
        <w:pBdr>
          <w:top w:val="nil"/>
          <w:left w:val="nil"/>
          <w:bottom w:val="nil"/>
          <w:right w:val="nil"/>
          <w:between w:val="nil"/>
        </w:pBdr>
        <w:rPr>
          <w:color w:val="000000"/>
        </w:rPr>
      </w:pPr>
      <w:r>
        <w:rPr>
          <w:color w:val="000000"/>
        </w:rPr>
        <w:t xml:space="preserve">Cates, W., Grimes, D. A., &amp; Schulz, K. F. (2003). The public health impact of legal abortion: 30 years later. </w:t>
      </w:r>
      <w:r>
        <w:rPr>
          <w:i/>
          <w:iCs/>
          <w:color w:val="000000"/>
        </w:rPr>
        <w:t>Perspectives on Sexual and Reproductive Health, 35</w:t>
      </w:r>
      <w:r>
        <w:rPr>
          <w:color w:val="000000"/>
        </w:rPr>
        <w:t>(1), 25–28.</w:t>
      </w:r>
    </w:p>
    <w:p w14:paraId="00000073" w14:textId="77777777" w:rsidR="009D3403" w:rsidRDefault="00000000">
      <w:pPr>
        <w:pBdr>
          <w:top w:val="nil"/>
          <w:left w:val="nil"/>
          <w:bottom w:val="nil"/>
          <w:right w:val="nil"/>
          <w:between w:val="nil"/>
        </w:pBdr>
        <w:rPr>
          <w:color w:val="000000"/>
        </w:rPr>
      </w:pPr>
      <w:r>
        <w:rPr>
          <w:color w:val="000000"/>
        </w:rPr>
        <w:t xml:space="preserve">Curhan, T. (2026, April 27). </w:t>
      </w:r>
      <w:r>
        <w:rPr>
          <w:i/>
          <w:iCs/>
          <w:color w:val="000000"/>
        </w:rPr>
        <w:t>State bans on abortion throughout pregnancy.</w:t>
      </w:r>
    </w:p>
    <w:p w14:paraId="00000074" w14:textId="77777777" w:rsidR="009D3403" w:rsidRDefault="00000000">
      <w:pPr>
        <w:pBdr>
          <w:top w:val="nil"/>
          <w:left w:val="nil"/>
          <w:bottom w:val="nil"/>
          <w:right w:val="nil"/>
          <w:between w:val="nil"/>
        </w:pBdr>
        <w:rPr>
          <w:color w:val="000000"/>
        </w:rPr>
      </w:pPr>
      <w:r>
        <w:rPr>
          <w:color w:val="000000"/>
        </w:rPr>
        <w:t>Department of Human Services v. Collier, 95 S.W.3d 772 (Ark. 2003).</w:t>
      </w:r>
    </w:p>
    <w:p w14:paraId="00000075" w14:textId="77777777" w:rsidR="009D3403" w:rsidRDefault="00000000">
      <w:pPr>
        <w:pBdr>
          <w:top w:val="nil"/>
          <w:left w:val="nil"/>
          <w:bottom w:val="nil"/>
          <w:right w:val="nil"/>
          <w:between w:val="nil"/>
        </w:pBdr>
        <w:rPr>
          <w:color w:val="000000"/>
        </w:rPr>
      </w:pPr>
      <w:r>
        <w:rPr>
          <w:color w:val="000000"/>
        </w:rPr>
        <w:t xml:space="preserve">DiBranco, A. (2017). </w:t>
      </w:r>
      <w:r>
        <w:rPr>
          <w:i/>
          <w:iCs/>
          <w:color w:val="000000"/>
        </w:rPr>
        <w:t>Mobilizing misogyny</w:t>
      </w:r>
      <w:r>
        <w:rPr>
          <w:color w:val="000000"/>
        </w:rPr>
        <w:t xml:space="preserve">. </w:t>
      </w:r>
      <w:r>
        <w:rPr>
          <w:i/>
          <w:iCs/>
          <w:color w:val="000000"/>
        </w:rPr>
        <w:t>The Public Eye</w:t>
      </w:r>
      <w:r>
        <w:rPr>
          <w:color w:val="000000"/>
        </w:rPr>
        <w:t>, 11–23.</w:t>
      </w:r>
    </w:p>
    <w:p w14:paraId="00000076" w14:textId="77777777" w:rsidR="009D3403" w:rsidRDefault="00000000">
      <w:pPr>
        <w:pBdr>
          <w:top w:val="nil"/>
          <w:left w:val="nil"/>
          <w:bottom w:val="nil"/>
          <w:right w:val="nil"/>
          <w:between w:val="nil"/>
        </w:pBdr>
        <w:rPr>
          <w:color w:val="000000"/>
        </w:rPr>
      </w:pPr>
      <w:r>
        <w:rPr>
          <w:color w:val="000000"/>
        </w:rPr>
        <w:t>Dobbs v. Jackson Women's Health Organization, 597 U.S. 64 (2022).</w:t>
      </w:r>
    </w:p>
    <w:p w14:paraId="00000077" w14:textId="77777777" w:rsidR="009D3403" w:rsidRDefault="00000000">
      <w:pPr>
        <w:pBdr>
          <w:top w:val="nil"/>
          <w:left w:val="nil"/>
          <w:bottom w:val="nil"/>
          <w:right w:val="nil"/>
          <w:between w:val="nil"/>
        </w:pBdr>
        <w:rPr>
          <w:color w:val="000000"/>
        </w:rPr>
      </w:pPr>
      <w:r>
        <w:rPr>
          <w:color w:val="000000"/>
        </w:rPr>
        <w:t>Ferguson v. City of Charleston, 308 F.3d 380 (2002).</w:t>
      </w:r>
    </w:p>
    <w:p w14:paraId="00000078" w14:textId="77777777" w:rsidR="009D3403" w:rsidRDefault="00000000">
      <w:pPr>
        <w:pBdr>
          <w:top w:val="nil"/>
          <w:left w:val="nil"/>
          <w:bottom w:val="nil"/>
          <w:right w:val="nil"/>
          <w:between w:val="nil"/>
        </w:pBdr>
        <w:rPr>
          <w:color w:val="000000"/>
        </w:rPr>
      </w:pPr>
      <w:r>
        <w:rPr>
          <w:color w:val="000000"/>
        </w:rPr>
        <w:t>Ferguson v. City of Charleston, 532 U.S. 67 (2001).</w:t>
      </w:r>
    </w:p>
    <w:p w14:paraId="00000079" w14:textId="77777777" w:rsidR="009D3403" w:rsidRDefault="00000000">
      <w:pPr>
        <w:pBdr>
          <w:top w:val="nil"/>
          <w:left w:val="nil"/>
          <w:bottom w:val="nil"/>
          <w:right w:val="nil"/>
          <w:between w:val="nil"/>
        </w:pBdr>
        <w:rPr>
          <w:color w:val="000000"/>
        </w:rPr>
      </w:pPr>
      <w:r>
        <w:rPr>
          <w:color w:val="000000"/>
        </w:rPr>
        <w:t xml:space="preserve">Fernando, C. (2024, February 13). </w:t>
      </w:r>
      <w:r>
        <w:rPr>
          <w:i/>
          <w:iCs/>
          <w:color w:val="000000"/>
        </w:rPr>
        <w:t>Mental health emerges as a dividing line in abortion rights initiatives planned for state ballots.</w:t>
      </w:r>
    </w:p>
    <w:p w14:paraId="0000007A" w14:textId="77777777" w:rsidR="009D3403" w:rsidRDefault="00000000">
      <w:pPr>
        <w:pBdr>
          <w:top w:val="nil"/>
          <w:left w:val="nil"/>
          <w:bottom w:val="nil"/>
          <w:right w:val="nil"/>
          <w:between w:val="nil"/>
        </w:pBdr>
        <w:rPr>
          <w:color w:val="000000"/>
        </w:rPr>
      </w:pPr>
      <w:r>
        <w:rPr>
          <w:color w:val="000000"/>
        </w:rPr>
        <w:t xml:space="preserve">Fowler, R. (2023, September 13). </w:t>
      </w:r>
      <w:r>
        <w:rPr>
          <w:i/>
          <w:iCs/>
          <w:color w:val="000000"/>
        </w:rPr>
        <w:t>Maternity deserts and short staffing put American births in danger.</w:t>
      </w:r>
    </w:p>
    <w:p w14:paraId="0000007B" w14:textId="77777777" w:rsidR="009D3403" w:rsidRDefault="00000000">
      <w:pPr>
        <w:pBdr>
          <w:top w:val="nil"/>
          <w:left w:val="nil"/>
          <w:bottom w:val="nil"/>
          <w:right w:val="nil"/>
          <w:between w:val="nil"/>
        </w:pBdr>
        <w:rPr>
          <w:color w:val="000000"/>
        </w:rPr>
      </w:pPr>
      <w:r>
        <w:rPr>
          <w:color w:val="000000"/>
        </w:rPr>
        <w:t xml:space="preserve">Friedan, B. (n.d.). </w:t>
      </w:r>
      <w:r>
        <w:rPr>
          <w:i/>
          <w:iCs/>
          <w:color w:val="000000"/>
        </w:rPr>
        <w:t>Abortion: A woman’s civil right.</w:t>
      </w:r>
    </w:p>
    <w:p w14:paraId="0000007C" w14:textId="77777777" w:rsidR="009D3403" w:rsidRDefault="00000000">
      <w:pPr>
        <w:pBdr>
          <w:top w:val="nil"/>
          <w:left w:val="nil"/>
          <w:bottom w:val="nil"/>
          <w:right w:val="nil"/>
          <w:between w:val="nil"/>
        </w:pBdr>
        <w:rPr>
          <w:color w:val="000000"/>
        </w:rPr>
      </w:pPr>
      <w:r>
        <w:rPr>
          <w:color w:val="000000"/>
        </w:rPr>
        <w:t xml:space="preserve">Gomez, I., Diep, K., Felix, M., &amp; Salganicoff, A. (2025, August 9). </w:t>
      </w:r>
      <w:r>
        <w:rPr>
          <w:i/>
          <w:iCs/>
          <w:color w:val="000000"/>
        </w:rPr>
        <w:t>10 things to know about abortion access since the Dobbs decision.</w:t>
      </w:r>
    </w:p>
    <w:p w14:paraId="0000007D" w14:textId="77777777" w:rsidR="009D3403" w:rsidRDefault="00000000">
      <w:pPr>
        <w:pBdr>
          <w:top w:val="nil"/>
          <w:left w:val="nil"/>
          <w:bottom w:val="nil"/>
          <w:right w:val="nil"/>
          <w:between w:val="nil"/>
        </w:pBdr>
        <w:rPr>
          <w:color w:val="000000"/>
        </w:rPr>
      </w:pPr>
      <w:r>
        <w:rPr>
          <w:color w:val="000000"/>
        </w:rPr>
        <w:t xml:space="preserve">Gunja, M. Z., Gumas, E. D., Masitha, R., &amp; Zephyrin, L. C. (2024, June 4). </w:t>
      </w:r>
      <w:r>
        <w:rPr>
          <w:i/>
          <w:iCs/>
          <w:color w:val="000000"/>
        </w:rPr>
        <w:t>Insights into the U.S. maternal mortality crisis: An international comparison.</w:t>
      </w:r>
    </w:p>
    <w:p w14:paraId="0000007E" w14:textId="77777777" w:rsidR="009D3403" w:rsidRDefault="00000000">
      <w:pPr>
        <w:pBdr>
          <w:top w:val="nil"/>
          <w:left w:val="nil"/>
          <w:bottom w:val="nil"/>
          <w:right w:val="nil"/>
          <w:between w:val="nil"/>
        </w:pBdr>
        <w:rPr>
          <w:color w:val="000000"/>
        </w:rPr>
      </w:pPr>
      <w:r>
        <w:rPr>
          <w:color w:val="000000"/>
        </w:rPr>
        <w:t>In re A.C., 573 A.2d 1235 (D.C. 1990).</w:t>
      </w:r>
    </w:p>
    <w:p w14:paraId="0000007F" w14:textId="77777777" w:rsidR="009D3403" w:rsidRDefault="00000000">
      <w:pPr>
        <w:pBdr>
          <w:top w:val="nil"/>
          <w:left w:val="nil"/>
          <w:bottom w:val="nil"/>
          <w:right w:val="nil"/>
          <w:between w:val="nil"/>
        </w:pBdr>
        <w:rPr>
          <w:color w:val="000000"/>
        </w:rPr>
      </w:pPr>
      <w:r>
        <w:rPr>
          <w:color w:val="000000"/>
        </w:rPr>
        <w:t>In re Bentley, D.C. Super. Ct. (1974).</w:t>
      </w:r>
    </w:p>
    <w:p w14:paraId="00000080" w14:textId="77777777" w:rsidR="009D3403" w:rsidRDefault="00000000">
      <w:pPr>
        <w:pBdr>
          <w:top w:val="nil"/>
          <w:left w:val="nil"/>
          <w:bottom w:val="nil"/>
          <w:right w:val="nil"/>
          <w:between w:val="nil"/>
        </w:pBdr>
        <w:rPr>
          <w:color w:val="000000"/>
        </w:rPr>
      </w:pPr>
      <w:r>
        <w:rPr>
          <w:color w:val="000000"/>
        </w:rPr>
        <w:t>In re Jeffries, No. 14004 Mich. Prob. Ct. (1982).</w:t>
      </w:r>
    </w:p>
    <w:p w14:paraId="00000081" w14:textId="77777777" w:rsidR="009D3403" w:rsidRDefault="00000000">
      <w:pPr>
        <w:pBdr>
          <w:top w:val="nil"/>
          <w:left w:val="nil"/>
          <w:bottom w:val="nil"/>
          <w:right w:val="nil"/>
          <w:between w:val="nil"/>
        </w:pBdr>
        <w:rPr>
          <w:color w:val="000000"/>
        </w:rPr>
      </w:pPr>
      <w:r>
        <w:rPr>
          <w:color w:val="000000"/>
        </w:rPr>
        <w:t>In re Unborn Baby Wilson, No. 81-108 AV Mich. Juv. Ct. (1981).</w:t>
      </w:r>
    </w:p>
    <w:p w14:paraId="00000082" w14:textId="77777777" w:rsidR="009D3403" w:rsidRDefault="00000000">
      <w:pPr>
        <w:pBdr>
          <w:top w:val="nil"/>
          <w:left w:val="nil"/>
          <w:bottom w:val="nil"/>
          <w:right w:val="nil"/>
          <w:between w:val="nil"/>
        </w:pBdr>
        <w:rPr>
          <w:color w:val="000000"/>
        </w:rPr>
      </w:pPr>
      <w:r>
        <w:rPr>
          <w:color w:val="000000"/>
        </w:rPr>
        <w:t>In re Unborn Child Corneau, No. CP-00-A-0022, Mass. Juv. Ct. Attleboro Div. (2000).</w:t>
      </w:r>
    </w:p>
    <w:p w14:paraId="00000083" w14:textId="77777777" w:rsidR="009D3403" w:rsidRDefault="00000000">
      <w:pPr>
        <w:pBdr>
          <w:top w:val="nil"/>
          <w:left w:val="nil"/>
          <w:bottom w:val="nil"/>
          <w:right w:val="nil"/>
          <w:between w:val="nil"/>
        </w:pBdr>
        <w:rPr>
          <w:color w:val="000000"/>
        </w:rPr>
      </w:pPr>
      <w:r>
        <w:rPr>
          <w:color w:val="000000"/>
        </w:rPr>
        <w:t>In re Unborn Child of Starks, No. 93,606 Okla. (1999).</w:t>
      </w:r>
    </w:p>
    <w:p w14:paraId="00000084" w14:textId="77777777" w:rsidR="009D3403" w:rsidRDefault="00000000">
      <w:pPr>
        <w:pBdr>
          <w:top w:val="nil"/>
          <w:left w:val="nil"/>
          <w:bottom w:val="nil"/>
          <w:right w:val="nil"/>
          <w:between w:val="nil"/>
        </w:pBdr>
        <w:rPr>
          <w:color w:val="000000"/>
        </w:rPr>
      </w:pPr>
      <w:r>
        <w:rPr>
          <w:color w:val="000000"/>
        </w:rPr>
        <w:lastRenderedPageBreak/>
        <w:t xml:space="preserve">Kimble, C., &amp; Chettiar, I. M. (2018, October 4). </w:t>
      </w:r>
      <w:r>
        <w:rPr>
          <w:i/>
          <w:iCs/>
          <w:color w:val="000000"/>
        </w:rPr>
        <w:t>Sexual assault remains dramatically underreported.</w:t>
      </w:r>
    </w:p>
    <w:p w14:paraId="00000085" w14:textId="77777777" w:rsidR="009D3403" w:rsidRDefault="00000000">
      <w:pPr>
        <w:pBdr>
          <w:top w:val="nil"/>
          <w:left w:val="nil"/>
          <w:bottom w:val="nil"/>
          <w:right w:val="nil"/>
          <w:between w:val="nil"/>
        </w:pBdr>
        <w:rPr>
          <w:color w:val="000000"/>
        </w:rPr>
      </w:pPr>
      <w:r>
        <w:rPr>
          <w:color w:val="000000"/>
        </w:rPr>
        <w:t xml:space="preserve">Klein, M. (1935). </w:t>
      </w:r>
      <w:r>
        <w:rPr>
          <w:i/>
          <w:iCs/>
          <w:color w:val="000000"/>
        </w:rPr>
        <w:t>A contribution to the psychogenesis of manic-depressive states</w:t>
      </w:r>
      <w:r>
        <w:rPr>
          <w:color w:val="000000"/>
        </w:rPr>
        <w:t xml:space="preserve">. </w:t>
      </w:r>
      <w:r>
        <w:rPr>
          <w:i/>
          <w:iCs/>
          <w:color w:val="000000"/>
        </w:rPr>
        <w:t>International Journal of Psycho-Analysis, 16</w:t>
      </w:r>
      <w:r>
        <w:rPr>
          <w:color w:val="000000"/>
        </w:rPr>
        <w:t>, 145–174.</w:t>
      </w:r>
    </w:p>
    <w:p w14:paraId="00000086" w14:textId="77777777" w:rsidR="009D3403" w:rsidRDefault="00000000">
      <w:pPr>
        <w:pBdr>
          <w:top w:val="nil"/>
          <w:left w:val="nil"/>
          <w:bottom w:val="nil"/>
          <w:right w:val="nil"/>
          <w:between w:val="nil"/>
        </w:pBdr>
        <w:rPr>
          <w:color w:val="000000"/>
        </w:rPr>
      </w:pPr>
      <w:r>
        <w:rPr>
          <w:color w:val="000000"/>
        </w:rPr>
        <w:t xml:space="preserve">Klein, M. (1957). </w:t>
      </w:r>
      <w:r>
        <w:rPr>
          <w:i/>
          <w:iCs/>
          <w:color w:val="000000"/>
        </w:rPr>
        <w:t>Envy and gratitude: A study of unconscious sources</w:t>
      </w:r>
      <w:r>
        <w:rPr>
          <w:color w:val="000000"/>
        </w:rPr>
        <w:t>. Tavistock Publications.</w:t>
      </w:r>
    </w:p>
    <w:p w14:paraId="00000087" w14:textId="77777777" w:rsidR="009D3403" w:rsidRDefault="00000000">
      <w:pPr>
        <w:pBdr>
          <w:top w:val="nil"/>
          <w:left w:val="nil"/>
          <w:bottom w:val="nil"/>
          <w:right w:val="nil"/>
          <w:between w:val="nil"/>
        </w:pBdr>
        <w:rPr>
          <w:color w:val="000000"/>
        </w:rPr>
      </w:pPr>
      <w:r>
        <w:rPr>
          <w:color w:val="000000"/>
        </w:rPr>
        <w:t xml:space="preserve">Klein, M., &amp; Riviere, J. (1937). </w:t>
      </w:r>
      <w:r>
        <w:rPr>
          <w:i/>
          <w:iCs/>
          <w:color w:val="000000"/>
        </w:rPr>
        <w:t>Love, hate and reparation</w:t>
      </w:r>
      <w:r>
        <w:rPr>
          <w:color w:val="000000"/>
        </w:rPr>
        <w:t>. Hogarth Press.</w:t>
      </w:r>
    </w:p>
    <w:p w14:paraId="00000088" w14:textId="77777777" w:rsidR="009D3403" w:rsidRDefault="00000000">
      <w:pPr>
        <w:pBdr>
          <w:top w:val="nil"/>
          <w:left w:val="nil"/>
          <w:bottom w:val="nil"/>
          <w:right w:val="nil"/>
          <w:between w:val="nil"/>
        </w:pBdr>
        <w:rPr>
          <w:color w:val="000000"/>
        </w:rPr>
      </w:pPr>
      <w:r>
        <w:rPr>
          <w:color w:val="000000"/>
        </w:rPr>
        <w:t xml:space="preserve">Lester, D. (1992). Roe v. Wade was followed by a decrease in neonatal homicide. </w:t>
      </w:r>
      <w:r>
        <w:rPr>
          <w:i/>
          <w:iCs/>
          <w:color w:val="000000"/>
        </w:rPr>
        <w:t>JAMA, 267</w:t>
      </w:r>
      <w:r>
        <w:rPr>
          <w:color w:val="000000"/>
        </w:rPr>
        <w:t>(22), 3027.</w:t>
      </w:r>
    </w:p>
    <w:p w14:paraId="00000089" w14:textId="77777777" w:rsidR="009D3403" w:rsidRDefault="00000000">
      <w:pPr>
        <w:pBdr>
          <w:top w:val="nil"/>
          <w:left w:val="nil"/>
          <w:bottom w:val="nil"/>
          <w:right w:val="nil"/>
          <w:between w:val="nil"/>
        </w:pBdr>
        <w:rPr>
          <w:color w:val="000000"/>
        </w:rPr>
      </w:pPr>
      <w:r>
        <w:rPr>
          <w:color w:val="000000"/>
        </w:rPr>
        <w:t xml:space="preserve">Lewis, M. (2018, February 9). </w:t>
      </w:r>
      <w:r>
        <w:rPr>
          <w:i/>
          <w:iCs/>
          <w:color w:val="000000"/>
        </w:rPr>
        <w:t>Has anyone seen the president?</w:t>
      </w:r>
      <w:r>
        <w:rPr>
          <w:color w:val="000000"/>
        </w:rPr>
        <w:t xml:space="preserve"> Bloomberg Opinion.</w:t>
      </w:r>
    </w:p>
    <w:p w14:paraId="0000008A" w14:textId="77777777" w:rsidR="009D3403" w:rsidRDefault="00000000">
      <w:pPr>
        <w:pBdr>
          <w:top w:val="nil"/>
          <w:left w:val="nil"/>
          <w:bottom w:val="nil"/>
          <w:right w:val="nil"/>
          <w:between w:val="nil"/>
        </w:pBdr>
        <w:rPr>
          <w:color w:val="000000"/>
        </w:rPr>
      </w:pPr>
      <w:r>
        <w:rPr>
          <w:color w:val="000000"/>
        </w:rPr>
        <w:t>McKnight v. State, 661 S.E.2d 354 (S.C. 2008).</w:t>
      </w:r>
    </w:p>
    <w:p w14:paraId="0000008B" w14:textId="77777777" w:rsidR="009D3403" w:rsidRDefault="00000000">
      <w:pPr>
        <w:pBdr>
          <w:top w:val="nil"/>
          <w:left w:val="nil"/>
          <w:bottom w:val="nil"/>
          <w:right w:val="nil"/>
          <w:between w:val="nil"/>
        </w:pBdr>
        <w:rPr>
          <w:color w:val="000000"/>
        </w:rPr>
      </w:pPr>
      <w:r>
        <w:rPr>
          <w:color w:val="000000"/>
        </w:rPr>
        <w:t xml:space="preserve">Moloney, A. (2014, November 12). </w:t>
      </w:r>
      <w:r>
        <w:rPr>
          <w:i/>
          <w:iCs/>
          <w:color w:val="000000"/>
        </w:rPr>
        <w:t>Rape, abortion ban drives pregnant teens to suicide in El Salvador.</w:t>
      </w:r>
    </w:p>
    <w:p w14:paraId="0000008C" w14:textId="77777777" w:rsidR="009D3403" w:rsidRDefault="00000000">
      <w:pPr>
        <w:pBdr>
          <w:top w:val="nil"/>
          <w:left w:val="nil"/>
          <w:bottom w:val="nil"/>
          <w:right w:val="nil"/>
          <w:between w:val="nil"/>
        </w:pBdr>
        <w:rPr>
          <w:color w:val="000000"/>
        </w:rPr>
      </w:pPr>
      <w:r>
        <w:rPr>
          <w:color w:val="000000"/>
        </w:rPr>
        <w:t xml:space="preserve">Moss, D., &amp; Zeavin, L. (Eds.). (2022). </w:t>
      </w:r>
      <w:r>
        <w:rPr>
          <w:i/>
          <w:iCs/>
          <w:color w:val="000000"/>
        </w:rPr>
        <w:t>Hating, abhoring, and wishing to destroy: Psychoanalytic essays on the contemporary moment</w:t>
      </w:r>
      <w:r>
        <w:rPr>
          <w:color w:val="000000"/>
        </w:rPr>
        <w:t>. The New Library of Psychoanalysis.</w:t>
      </w:r>
    </w:p>
    <w:p w14:paraId="0000008D" w14:textId="77777777" w:rsidR="009D3403" w:rsidRDefault="00000000">
      <w:pPr>
        <w:pBdr>
          <w:top w:val="nil"/>
          <w:left w:val="nil"/>
          <w:bottom w:val="nil"/>
          <w:right w:val="nil"/>
          <w:between w:val="nil"/>
        </w:pBdr>
        <w:rPr>
          <w:color w:val="000000"/>
        </w:rPr>
      </w:pPr>
      <w:r>
        <w:rPr>
          <w:color w:val="000000"/>
        </w:rPr>
        <w:t xml:space="preserve">Paltrow, L. M. (2024, January 23). </w:t>
      </w:r>
      <w:r>
        <w:rPr>
          <w:i/>
          <w:iCs/>
          <w:color w:val="000000"/>
        </w:rPr>
        <w:t>My thanks to Dobbs.</w:t>
      </w:r>
    </w:p>
    <w:p w14:paraId="0000008E" w14:textId="77777777" w:rsidR="009D3403" w:rsidRDefault="00000000">
      <w:pPr>
        <w:pBdr>
          <w:top w:val="nil"/>
          <w:left w:val="nil"/>
          <w:bottom w:val="nil"/>
          <w:right w:val="nil"/>
          <w:between w:val="nil"/>
        </w:pBdr>
        <w:rPr>
          <w:color w:val="000000"/>
        </w:rPr>
      </w:pPr>
      <w:r>
        <w:rPr>
          <w:color w:val="000000"/>
        </w:rPr>
        <w:t>People v. Bremer, No. 90-32227-FH Mich. Cir. Ct. (1991).</w:t>
      </w:r>
    </w:p>
    <w:p w14:paraId="0000008F" w14:textId="77777777" w:rsidR="009D3403" w:rsidRDefault="00000000">
      <w:pPr>
        <w:pBdr>
          <w:top w:val="nil"/>
          <w:left w:val="nil"/>
          <w:bottom w:val="nil"/>
          <w:right w:val="nil"/>
          <w:between w:val="nil"/>
        </w:pBdr>
        <w:rPr>
          <w:color w:val="000000"/>
        </w:rPr>
      </w:pPr>
      <w:r>
        <w:rPr>
          <w:color w:val="000000"/>
        </w:rPr>
        <w:t xml:space="preserve">Petchesky, R. (1984). </w:t>
      </w:r>
      <w:r>
        <w:rPr>
          <w:i/>
          <w:iCs/>
          <w:color w:val="000000"/>
        </w:rPr>
        <w:t>Abortion as “violence against women”: A feminist critique</w:t>
      </w:r>
      <w:r>
        <w:rPr>
          <w:color w:val="000000"/>
        </w:rPr>
        <w:t xml:space="preserve">. </w:t>
      </w:r>
      <w:r>
        <w:rPr>
          <w:i/>
          <w:iCs/>
          <w:color w:val="000000"/>
        </w:rPr>
        <w:t>Radical America, 18</w:t>
      </w:r>
      <w:r>
        <w:rPr>
          <w:color w:val="000000"/>
        </w:rPr>
        <w:t>(64).</w:t>
      </w:r>
    </w:p>
    <w:p w14:paraId="00000090" w14:textId="77777777" w:rsidR="009D3403" w:rsidRDefault="00000000">
      <w:pPr>
        <w:pBdr>
          <w:top w:val="nil"/>
          <w:left w:val="nil"/>
          <w:bottom w:val="nil"/>
          <w:right w:val="nil"/>
          <w:between w:val="nil"/>
        </w:pBdr>
        <w:rPr>
          <w:color w:val="000000"/>
        </w:rPr>
      </w:pPr>
      <w:r>
        <w:rPr>
          <w:color w:val="000000"/>
        </w:rPr>
        <w:t xml:space="preserve">Petchesky, R. P. (1995). From population control to reproductive rights: Feminist fault lines. </w:t>
      </w:r>
      <w:r>
        <w:rPr>
          <w:i/>
          <w:iCs/>
          <w:color w:val="000000"/>
        </w:rPr>
        <w:t>Reproductive Health Matters, 3</w:t>
      </w:r>
      <w:r>
        <w:rPr>
          <w:color w:val="000000"/>
        </w:rPr>
        <w:t>(6), 152–161.</w:t>
      </w:r>
    </w:p>
    <w:p w14:paraId="00000091" w14:textId="77777777" w:rsidR="009D3403" w:rsidRDefault="00000000">
      <w:pPr>
        <w:pBdr>
          <w:top w:val="nil"/>
          <w:left w:val="nil"/>
          <w:bottom w:val="nil"/>
          <w:right w:val="nil"/>
          <w:between w:val="nil"/>
        </w:pBdr>
        <w:rPr>
          <w:color w:val="000000"/>
        </w:rPr>
      </w:pPr>
      <w:r>
        <w:rPr>
          <w:color w:val="000000"/>
        </w:rPr>
        <w:t xml:space="preserve">Petchesky, R. P. (2024). </w:t>
      </w:r>
      <w:r>
        <w:rPr>
          <w:i/>
          <w:iCs/>
          <w:color w:val="000000"/>
        </w:rPr>
        <w:t>Abortion and women’s choice: The state, sexuality and reproductive freedom</w:t>
      </w:r>
      <w:r>
        <w:rPr>
          <w:color w:val="000000"/>
        </w:rPr>
        <w:t>. Verso.</w:t>
      </w:r>
    </w:p>
    <w:p w14:paraId="00000092" w14:textId="77777777" w:rsidR="009D3403" w:rsidRDefault="00000000">
      <w:pPr>
        <w:pBdr>
          <w:top w:val="nil"/>
          <w:left w:val="nil"/>
          <w:bottom w:val="nil"/>
          <w:right w:val="nil"/>
          <w:between w:val="nil"/>
        </w:pBdr>
        <w:rPr>
          <w:color w:val="000000"/>
        </w:rPr>
      </w:pPr>
      <w:r>
        <w:rPr>
          <w:color w:val="000000"/>
        </w:rPr>
        <w:t>Planned Parenthood of Southeastern Pennsylvania v. Casey, 505 U.S. 833 (1992).</w:t>
      </w:r>
    </w:p>
    <w:p w14:paraId="00000093" w14:textId="77777777" w:rsidR="009D3403" w:rsidRDefault="00000000">
      <w:pPr>
        <w:pBdr>
          <w:top w:val="nil"/>
          <w:left w:val="nil"/>
          <w:bottom w:val="nil"/>
          <w:right w:val="nil"/>
          <w:between w:val="nil"/>
        </w:pBdr>
        <w:rPr>
          <w:color w:val="000000"/>
        </w:rPr>
      </w:pPr>
      <w:r>
        <w:rPr>
          <w:color w:val="000000"/>
        </w:rPr>
        <w:t xml:space="preserve">Pregnancy Justice. (2019, May 9). </w:t>
      </w:r>
      <w:r>
        <w:rPr>
          <w:i/>
          <w:iCs/>
          <w:color w:val="000000"/>
        </w:rPr>
        <w:t>NAPW: The case of Shirley Wheeler</w:t>
      </w:r>
      <w:r>
        <w:rPr>
          <w:color w:val="000000"/>
        </w:rPr>
        <w:t xml:space="preserve"> [Video].</w:t>
      </w:r>
    </w:p>
    <w:p w14:paraId="00000094" w14:textId="77777777" w:rsidR="009D3403" w:rsidRDefault="00000000">
      <w:pPr>
        <w:pBdr>
          <w:top w:val="nil"/>
          <w:left w:val="nil"/>
          <w:bottom w:val="nil"/>
          <w:right w:val="nil"/>
          <w:between w:val="nil"/>
        </w:pBdr>
        <w:rPr>
          <w:color w:val="000000"/>
        </w:rPr>
      </w:pPr>
      <w:r>
        <w:rPr>
          <w:color w:val="000000"/>
        </w:rPr>
        <w:t>Roe v. Wade, 410 U.S. 113 (1973).</w:t>
      </w:r>
    </w:p>
    <w:p w14:paraId="00000095" w14:textId="77777777" w:rsidR="009D3403" w:rsidRDefault="00000000">
      <w:pPr>
        <w:pBdr>
          <w:top w:val="nil"/>
          <w:left w:val="nil"/>
          <w:bottom w:val="nil"/>
          <w:right w:val="nil"/>
          <w:between w:val="nil"/>
        </w:pBdr>
        <w:rPr>
          <w:color w:val="000000"/>
        </w:rPr>
      </w:pPr>
      <w:r>
        <w:rPr>
          <w:color w:val="000000"/>
        </w:rPr>
        <w:t xml:space="preserve">Schoenfeld Walker, A. (2023, January 21). </w:t>
      </w:r>
      <w:r>
        <w:rPr>
          <w:i/>
          <w:iCs/>
          <w:color w:val="000000"/>
        </w:rPr>
        <w:t>Most abortion bans include exceptions. In practice, few are granted.</w:t>
      </w:r>
    </w:p>
    <w:p w14:paraId="00000096" w14:textId="77777777" w:rsidR="009D3403" w:rsidRDefault="00000000">
      <w:pPr>
        <w:pBdr>
          <w:top w:val="nil"/>
          <w:left w:val="nil"/>
          <w:bottom w:val="nil"/>
          <w:right w:val="nil"/>
          <w:between w:val="nil"/>
        </w:pBdr>
        <w:rPr>
          <w:color w:val="000000"/>
        </w:rPr>
      </w:pPr>
      <w:r>
        <w:rPr>
          <w:color w:val="000000"/>
        </w:rPr>
        <w:t xml:space="preserve">Seitz, A. (2024, August 12). </w:t>
      </w:r>
      <w:r>
        <w:rPr>
          <w:i/>
          <w:iCs/>
          <w:color w:val="000000"/>
        </w:rPr>
        <w:t>Pregnant women in distress report being turned away from ERs despite federal law.</w:t>
      </w:r>
    </w:p>
    <w:p w14:paraId="00000097" w14:textId="77777777" w:rsidR="009D3403" w:rsidRDefault="00000000">
      <w:pPr>
        <w:pBdr>
          <w:top w:val="nil"/>
          <w:left w:val="nil"/>
          <w:bottom w:val="nil"/>
          <w:right w:val="nil"/>
          <w:between w:val="nil"/>
        </w:pBdr>
        <w:rPr>
          <w:color w:val="000000"/>
        </w:rPr>
      </w:pPr>
      <w:r>
        <w:rPr>
          <w:color w:val="000000"/>
        </w:rPr>
        <w:t xml:space="preserve">Sherman, C. (2025, January 16). </w:t>
      </w:r>
      <w:r>
        <w:rPr>
          <w:i/>
          <w:iCs/>
          <w:color w:val="000000"/>
        </w:rPr>
        <w:t>Ohio woman sues hospital and police after she was arrested over miscarriage.</w:t>
      </w:r>
    </w:p>
    <w:p w14:paraId="00000098" w14:textId="77777777" w:rsidR="009D3403" w:rsidRDefault="00000000">
      <w:pPr>
        <w:pBdr>
          <w:top w:val="nil"/>
          <w:left w:val="nil"/>
          <w:bottom w:val="nil"/>
          <w:right w:val="nil"/>
          <w:between w:val="nil"/>
        </w:pBdr>
        <w:rPr>
          <w:color w:val="000000"/>
        </w:rPr>
      </w:pPr>
      <w:r>
        <w:rPr>
          <w:color w:val="000000"/>
        </w:rPr>
        <w:t xml:space="preserve">Snyder, T. (2026, March 14). </w:t>
      </w:r>
      <w:r>
        <w:rPr>
          <w:i/>
          <w:iCs/>
          <w:color w:val="000000"/>
        </w:rPr>
        <w:t>A world apart.</w:t>
      </w:r>
    </w:p>
    <w:p w14:paraId="00000099" w14:textId="77777777" w:rsidR="009D3403" w:rsidRDefault="00000000">
      <w:pPr>
        <w:pBdr>
          <w:top w:val="nil"/>
          <w:left w:val="nil"/>
          <w:bottom w:val="nil"/>
          <w:right w:val="nil"/>
          <w:between w:val="nil"/>
        </w:pBdr>
        <w:rPr>
          <w:color w:val="000000"/>
        </w:rPr>
      </w:pPr>
      <w:r>
        <w:rPr>
          <w:color w:val="000000"/>
        </w:rPr>
        <w:t>State v. Arnold, No. 94-GS-24-107 S.C. Ct. (1994).</w:t>
      </w:r>
    </w:p>
    <w:p w14:paraId="0000009A" w14:textId="77777777" w:rsidR="009D3403" w:rsidRDefault="00000000">
      <w:pPr>
        <w:pBdr>
          <w:top w:val="nil"/>
          <w:left w:val="nil"/>
          <w:bottom w:val="nil"/>
          <w:right w:val="nil"/>
          <w:between w:val="nil"/>
        </w:pBdr>
        <w:rPr>
          <w:color w:val="000000"/>
        </w:rPr>
      </w:pPr>
      <w:r>
        <w:rPr>
          <w:color w:val="000000"/>
        </w:rPr>
        <w:t>State v. Greywind, No. CR-92-447 N.D. Cass County Ct. (1992).</w:t>
      </w:r>
    </w:p>
    <w:p w14:paraId="0000009B" w14:textId="77777777" w:rsidR="009D3403" w:rsidRDefault="00000000">
      <w:pPr>
        <w:pBdr>
          <w:top w:val="nil"/>
          <w:left w:val="nil"/>
          <w:bottom w:val="nil"/>
          <w:right w:val="nil"/>
          <w:between w:val="nil"/>
        </w:pBdr>
        <w:rPr>
          <w:color w:val="000000"/>
        </w:rPr>
      </w:pPr>
      <w:r>
        <w:rPr>
          <w:color w:val="000000"/>
        </w:rPr>
        <w:t>State v. Pemberton, No. 96-759 Fla. Cir. Ct. Leon County (1996).</w:t>
      </w:r>
    </w:p>
    <w:p w14:paraId="0000009C" w14:textId="77777777" w:rsidR="009D3403" w:rsidRDefault="00000000">
      <w:pPr>
        <w:pBdr>
          <w:top w:val="nil"/>
          <w:left w:val="nil"/>
          <w:bottom w:val="nil"/>
          <w:right w:val="nil"/>
          <w:between w:val="nil"/>
        </w:pBdr>
        <w:rPr>
          <w:color w:val="000000"/>
        </w:rPr>
      </w:pPr>
      <w:r>
        <w:rPr>
          <w:color w:val="000000"/>
        </w:rPr>
        <w:t>State v. Young, S.C. Ct. Gen. Sess. (1989).</w:t>
      </w:r>
    </w:p>
    <w:p w14:paraId="0000009D" w14:textId="77777777" w:rsidR="009D3403" w:rsidRDefault="00000000">
      <w:pPr>
        <w:pBdr>
          <w:top w:val="nil"/>
          <w:left w:val="nil"/>
          <w:bottom w:val="nil"/>
          <w:right w:val="nil"/>
          <w:between w:val="nil"/>
        </w:pBdr>
        <w:rPr>
          <w:color w:val="000000"/>
        </w:rPr>
      </w:pPr>
      <w:r>
        <w:rPr>
          <w:color w:val="000000"/>
        </w:rPr>
        <w:t xml:space="preserve">Stelter, B. (2021, November 16). </w:t>
      </w:r>
      <w:r>
        <w:rPr>
          <w:i/>
          <w:iCs/>
          <w:color w:val="000000"/>
        </w:rPr>
        <w:t>This infamous Steve Bannon quote is key to understanding America’s crazy politics.</w:t>
      </w:r>
    </w:p>
    <w:p w14:paraId="0000009E" w14:textId="77777777" w:rsidR="009D3403" w:rsidRDefault="00000000">
      <w:pPr>
        <w:pBdr>
          <w:top w:val="nil"/>
          <w:left w:val="nil"/>
          <w:bottom w:val="nil"/>
          <w:right w:val="nil"/>
          <w:between w:val="nil"/>
        </w:pBdr>
        <w:rPr>
          <w:color w:val="000000"/>
        </w:rPr>
      </w:pPr>
      <w:r>
        <w:rPr>
          <w:color w:val="000000"/>
        </w:rPr>
        <w:t xml:space="preserve">Stoneburner, A., Lucas, R., Fontenot, J., Brigance, C., Jones, E., &amp; DeMaria, A. L. (2024). </w:t>
      </w:r>
      <w:r>
        <w:rPr>
          <w:i/>
          <w:iCs/>
          <w:color w:val="000000"/>
        </w:rPr>
        <w:t>Nowhere to go: Maternity care deserts across the United States</w:t>
      </w:r>
      <w:r>
        <w:rPr>
          <w:color w:val="000000"/>
        </w:rPr>
        <w:t>. March of Dimes.</w:t>
      </w:r>
    </w:p>
    <w:p w14:paraId="0000009F" w14:textId="77777777" w:rsidR="009D3403" w:rsidRDefault="00000000">
      <w:pPr>
        <w:pBdr>
          <w:top w:val="nil"/>
          <w:left w:val="nil"/>
          <w:bottom w:val="nil"/>
          <w:right w:val="nil"/>
          <w:between w:val="nil"/>
        </w:pBdr>
        <w:rPr>
          <w:color w:val="000000"/>
        </w:rPr>
      </w:pPr>
      <w:r>
        <w:rPr>
          <w:color w:val="000000"/>
        </w:rPr>
        <w:t>United States v. Vuitch, 402 U.S. 67–72 (1971).</w:t>
      </w:r>
    </w:p>
    <w:p w14:paraId="000000A0" w14:textId="77777777" w:rsidR="009D3403" w:rsidRDefault="00000000">
      <w:pPr>
        <w:pBdr>
          <w:top w:val="nil"/>
          <w:left w:val="nil"/>
          <w:bottom w:val="nil"/>
          <w:right w:val="nil"/>
          <w:between w:val="nil"/>
        </w:pBdr>
        <w:rPr>
          <w:color w:val="000000"/>
        </w:rPr>
      </w:pPr>
      <w:r>
        <w:rPr>
          <w:color w:val="000000"/>
        </w:rPr>
        <w:t xml:space="preserve">Wilmot, C. (2026, April 3). </w:t>
      </w:r>
      <w:r>
        <w:rPr>
          <w:i/>
          <w:iCs/>
          <w:color w:val="000000"/>
        </w:rPr>
        <w:t>The Epstein emails show #MeToo never stood a chance</w:t>
      </w:r>
      <w:r>
        <w:rPr>
          <w:color w:val="000000"/>
        </w:rPr>
        <w:t xml:space="preserve">. </w:t>
      </w:r>
      <w:r>
        <w:rPr>
          <w:i/>
          <w:iCs/>
          <w:color w:val="000000"/>
        </w:rPr>
        <w:t>The New York Times</w:t>
      </w:r>
      <w:r>
        <w:rPr>
          <w:color w:val="000000"/>
        </w:rPr>
        <w:t>.</w:t>
      </w:r>
    </w:p>
    <w:p w14:paraId="000000A1" w14:textId="77777777" w:rsidR="009D3403" w:rsidRDefault="009D3403">
      <w:pPr>
        <w:spacing w:line="480" w:lineRule="auto"/>
        <w:rPr>
          <w:color w:val="000000"/>
          <w:u w:val="single"/>
        </w:rPr>
      </w:pPr>
    </w:p>
    <w:p w14:paraId="000000A2" w14:textId="77777777" w:rsidR="009D3403" w:rsidRDefault="009D3403">
      <w:pPr>
        <w:spacing w:line="480" w:lineRule="auto"/>
        <w:rPr>
          <w:color w:val="000000"/>
          <w:u w:val="single"/>
        </w:rPr>
      </w:pPr>
    </w:p>
    <w:p w14:paraId="000000A3" w14:textId="77777777" w:rsidR="009D3403" w:rsidRDefault="009D3403">
      <w:pPr>
        <w:spacing w:line="480" w:lineRule="auto"/>
        <w:rPr>
          <w:color w:val="000000"/>
          <w:u w:val="single"/>
        </w:rPr>
      </w:pPr>
    </w:p>
    <w:p w14:paraId="000000A4" w14:textId="77777777" w:rsidR="009D3403" w:rsidRDefault="009D3403">
      <w:pPr>
        <w:spacing w:line="480" w:lineRule="auto"/>
        <w:rPr>
          <w:color w:val="000000"/>
          <w:u w:val="single"/>
        </w:rPr>
      </w:pPr>
    </w:p>
    <w:p w14:paraId="000000A5" w14:textId="77777777" w:rsidR="009D3403" w:rsidRDefault="009D3403">
      <w:pPr>
        <w:spacing w:line="480" w:lineRule="auto"/>
        <w:rPr>
          <w:color w:val="000000"/>
          <w:u w:val="single"/>
        </w:rPr>
      </w:pPr>
    </w:p>
    <w:p w14:paraId="000000A6" w14:textId="77777777" w:rsidR="009D3403" w:rsidRDefault="009D3403">
      <w:pPr>
        <w:pBdr>
          <w:top w:val="nil"/>
          <w:left w:val="nil"/>
          <w:bottom w:val="nil"/>
          <w:right w:val="nil"/>
          <w:between w:val="nil"/>
        </w:pBdr>
        <w:rPr>
          <w:color w:val="000000"/>
        </w:rPr>
      </w:pPr>
    </w:p>
    <w:p w14:paraId="000000A7" w14:textId="77777777" w:rsidR="009D3403" w:rsidRDefault="009D3403">
      <w:pPr>
        <w:pBdr>
          <w:top w:val="nil"/>
          <w:left w:val="nil"/>
          <w:bottom w:val="nil"/>
          <w:right w:val="nil"/>
          <w:between w:val="nil"/>
        </w:pBdr>
        <w:rPr>
          <w:rFonts w:ascii="Calibri" w:eastAsia="Calibri" w:hAnsi="Calibri" w:cs="Calibri"/>
          <w:color w:val="000000"/>
          <w:sz w:val="20"/>
          <w:szCs w:val="20"/>
        </w:rPr>
      </w:pPr>
    </w:p>
    <w:sectPr w:rsidR="009D3403">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12AE29" w14:textId="77777777" w:rsidR="0062364D" w:rsidRDefault="0062364D">
      <w:r>
        <w:separator/>
      </w:r>
    </w:p>
  </w:endnote>
  <w:endnote w:type="continuationSeparator" w:id="0">
    <w:p w14:paraId="780A19D6" w14:textId="77777777" w:rsidR="0062364D" w:rsidRDefault="00623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D8AF335-4225-4544-82B4-481B0F1F432A}"/>
    <w:embedBold r:id="rId2" w:fontKey="{7CD278CD-3F7D-624A-B969-1FA4262F2BC9}"/>
    <w:embedItalic r:id="rId3" w:fontKey="{D7D06A59-8B66-2746-B3EE-501524D272D1}"/>
    <w:embedBoldItalic r:id="rId4" w:fontKey="{8BEECBF8-1291-E348-AA31-21C25DF86D0B}"/>
  </w:font>
  <w:font w:name="Georgia">
    <w:panose1 w:val="02040502050405020303"/>
    <w:charset w:val="00"/>
    <w:family w:val="roman"/>
    <w:pitch w:val="variable"/>
    <w:sig w:usb0="00000287" w:usb1="00000000" w:usb2="00000000" w:usb3="00000000" w:csb0="0000009F" w:csb1="00000000"/>
    <w:embedItalic r:id="rId5" w:fontKey="{225CB2D1-E974-3C4F-91F7-223FB5A99F29}"/>
  </w:font>
  <w:font w:name="Calibri">
    <w:panose1 w:val="020F0502020204030204"/>
    <w:charset w:val="00"/>
    <w:family w:val="swiss"/>
    <w:pitch w:val="variable"/>
    <w:sig w:usb0="E0002AFF" w:usb1="C000247B" w:usb2="00000009" w:usb3="00000000" w:csb0="000001FF" w:csb1="00000000"/>
    <w:embedRegular r:id="rId6" w:fontKey="{7DCA2A35-BF7E-664D-82F2-59ED4FE89E19}"/>
  </w:font>
  <w:font w:name="Cambria">
    <w:panose1 w:val="02040503050406030204"/>
    <w:charset w:val="00"/>
    <w:family w:val="roman"/>
    <w:pitch w:val="variable"/>
    <w:sig w:usb0="E00002FF" w:usb1="400004FF" w:usb2="00000000" w:usb3="00000000" w:csb0="0000019F" w:csb1="00000000"/>
    <w:embedRegular r:id="rId7" w:fontKey="{09C2900B-5B9F-7B4C-9A56-9BF2C75694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9" w14:textId="77777777" w:rsidR="009D3403" w:rsidRDefault="00000000">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000000AA" w14:textId="77777777" w:rsidR="009D3403" w:rsidRDefault="009D3403">
    <w:pPr>
      <w:pBdr>
        <w:top w:val="nil"/>
        <w:left w:val="nil"/>
        <w:bottom w:val="nil"/>
        <w:right w:val="nil"/>
        <w:between w:val="nil"/>
      </w:pBdr>
      <w:tabs>
        <w:tab w:val="center" w:pos="4680"/>
        <w:tab w:val="right" w:pos="9360"/>
      </w:tabs>
      <w:ind w:right="360"/>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B" w14:textId="21350B6B" w:rsidR="009D3403" w:rsidRDefault="00000000">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54884">
      <w:rPr>
        <w:rFonts w:ascii="Calibri" w:eastAsia="Calibri" w:hAnsi="Calibri" w:cs="Calibri"/>
        <w:noProof/>
        <w:color w:val="000000"/>
      </w:rPr>
      <w:t>1</w:t>
    </w:r>
    <w:r>
      <w:rPr>
        <w:rFonts w:ascii="Calibri" w:eastAsia="Calibri" w:hAnsi="Calibri" w:cs="Calibri"/>
        <w:color w:val="000000"/>
      </w:rPr>
      <w:fldChar w:fldCharType="end"/>
    </w:r>
  </w:p>
  <w:p w14:paraId="000000AC" w14:textId="77777777" w:rsidR="009D3403" w:rsidRDefault="009D3403">
    <w:pPr>
      <w:pBdr>
        <w:top w:val="nil"/>
        <w:left w:val="nil"/>
        <w:bottom w:val="nil"/>
        <w:right w:val="nil"/>
        <w:between w:val="nil"/>
      </w:pBdr>
      <w:tabs>
        <w:tab w:val="center" w:pos="4680"/>
        <w:tab w:val="right" w:pos="9360"/>
      </w:tabs>
      <w:ind w:right="360"/>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890041" w14:textId="77777777" w:rsidR="0062364D" w:rsidRDefault="0062364D">
      <w:r>
        <w:separator/>
      </w:r>
    </w:p>
  </w:footnote>
  <w:footnote w:type="continuationSeparator" w:id="0">
    <w:p w14:paraId="415B691B" w14:textId="77777777" w:rsidR="0062364D" w:rsidRDefault="00623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8" w14:textId="77777777" w:rsidR="009D3403" w:rsidRDefault="00000000">
    <w:pPr>
      <w:pBdr>
        <w:top w:val="nil"/>
        <w:left w:val="nil"/>
        <w:bottom w:val="nil"/>
        <w:right w:val="nil"/>
        <w:between w:val="nil"/>
      </w:pBdr>
      <w:tabs>
        <w:tab w:val="center" w:pos="4680"/>
        <w:tab w:val="right" w:pos="9360"/>
      </w:tabs>
      <w:rPr>
        <w:color w:val="000000"/>
      </w:rPr>
    </w:pPr>
    <w:r>
      <w:rPr>
        <w:color w:val="000000"/>
      </w:rPr>
      <w:t>Paltrow and Zeavin Draft 1-31-2026</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DisplayPageBoundaries/>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403"/>
    <w:rsid w:val="00273E1A"/>
    <w:rsid w:val="00454884"/>
    <w:rsid w:val="0062364D"/>
    <w:rsid w:val="009D3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35C37DB-9476-724E-8CF8-E2EC6769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ainn.org/statistics/criminal-justice-syste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FXLkr5gveLXECVJ+IZWWC1Tz1g==">CgMxLjA4AHIhMTd3NnlqWEJKc2k5Z3N2emtMRkVuRnN0UmZsWDRsdGN3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9441</Words>
  <Characters>40222</Characters>
  <Application>Microsoft Office Word</Application>
  <DocSecurity>0</DocSecurity>
  <Lines>744</Lines>
  <Paragraphs>145</Paragraphs>
  <ScaleCrop>false</ScaleCrop>
  <Company/>
  <LinksUpToDate>false</LinksUpToDate>
  <CharactersWithSpaces>49518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donald moss</cp:lastModifiedBy>
  <cp:revision>2</cp:revision>
  <dcterms:created xsi:type="dcterms:W3CDTF">2026-09-24T18:26:00Z</dcterms:created>
  <dcterms:modified xsi:type="dcterms:W3CDTF">2026-09-24T18:26:00Z</dcterms:modified>
</cp:coreProperties>
</file>