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10F2C" w:rsidRDefault="00000000">
      <w:pPr>
        <w:pStyle w:val="Head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 4</w:t>
      </w:r>
    </w:p>
    <w:p w14:paraId="00000002" w14:textId="77777777" w:rsidR="00610F2C" w:rsidRDefault="00000000">
      <w:pPr>
        <w:pStyle w:val="Head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When Silence Speaks: Reproductive Trauma and the Unspoken Resistance of Women in South Korea</w:t>
      </w:r>
    </w:p>
    <w:p w14:paraId="00000003" w14:textId="77777777" w:rsidR="00610F2C" w:rsidRDefault="00610F2C">
      <w:pPr>
        <w:rPr>
          <w:b/>
          <w:bCs/>
          <w:sz w:val="24"/>
          <w:szCs w:val="24"/>
        </w:rPr>
      </w:pPr>
    </w:p>
    <w:p w14:paraId="00000004" w14:textId="77777777" w:rsidR="00610F2C" w:rsidRDefault="00000000">
      <w:pPr>
        <w:jc w:val="right"/>
        <w:rPr>
          <w:sz w:val="24"/>
          <w:szCs w:val="24"/>
        </w:rPr>
      </w:pPr>
      <w:r>
        <w:rPr>
          <w:sz w:val="24"/>
          <w:szCs w:val="24"/>
        </w:rPr>
        <w:t>Hyunju Lee</w:t>
      </w:r>
    </w:p>
    <w:p w14:paraId="00000005" w14:textId="77777777" w:rsidR="00610F2C" w:rsidRDefault="00610F2C">
      <w:pPr>
        <w:jc w:val="right"/>
        <w:rPr>
          <w:sz w:val="24"/>
          <w:szCs w:val="24"/>
        </w:rPr>
      </w:pPr>
    </w:p>
    <w:p w14:paraId="00000006"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 The Sound of Demographic Silence</w:t>
      </w:r>
    </w:p>
    <w:p w14:paraId="00000007" w14:textId="77777777" w:rsidR="00610F2C" w:rsidRDefault="00000000">
      <w:pPr>
        <w:spacing w:line="480" w:lineRule="auto"/>
        <w:rPr>
          <w:sz w:val="24"/>
          <w:szCs w:val="24"/>
        </w:rPr>
      </w:pPr>
      <w:r>
        <w:rPr>
          <w:sz w:val="24"/>
          <w:szCs w:val="24"/>
        </w:rPr>
        <w:t>In the psychoanalytic consulting rooms in South Korea, the discourse surrounding reproduction—pregnancy, abortion, childbirth, and infertility—rarely arrives in the form of a clamorous narrative or a political manifesto. Instead, it emerges through a heavy, palpable silence. For foreign observers, South Korea is currently known for two contradictory reproductive statistics: it has the lowest fertility rate in the world (0.72 as of 2023) (Yang et al., 2024), yet it has historically maintained one of the highest rates of abortion relative to births (Ahn et al., 2012; Sung 2012). Between these two numbers lies a vast, unspoken territory of female experience.</w:t>
      </w:r>
    </w:p>
    <w:p w14:paraId="00000008" w14:textId="77777777" w:rsidR="00610F2C" w:rsidRDefault="00000000">
      <w:pPr>
        <w:spacing w:line="480" w:lineRule="auto"/>
        <w:ind w:firstLine="720"/>
        <w:rPr>
          <w:sz w:val="24"/>
          <w:szCs w:val="24"/>
        </w:rPr>
      </w:pPr>
      <w:r>
        <w:rPr>
          <w:sz w:val="24"/>
          <w:szCs w:val="24"/>
        </w:rPr>
        <w:t>For decades, South Korean women have navigated their reproductive lives in a cultural space where articulation was foreclosed. While Western discourses on abortion and reproductive rights have predominantly centered on the vocabulary of individual choice, autonomy, and legal rights, the reproductive history of Korean women demands that we listen to a different frequency: the frequency of silence.</w:t>
      </w:r>
    </w:p>
    <w:p w14:paraId="00000009" w14:textId="77777777" w:rsidR="00610F2C" w:rsidRDefault="00000000">
      <w:pPr>
        <w:spacing w:line="480" w:lineRule="auto"/>
        <w:ind w:firstLine="720"/>
        <w:rPr>
          <w:sz w:val="24"/>
          <w:szCs w:val="24"/>
        </w:rPr>
      </w:pPr>
      <w:r>
        <w:rPr>
          <w:sz w:val="24"/>
          <w:szCs w:val="24"/>
        </w:rPr>
        <w:t xml:space="preserve">This silence is not a void. It is not an emptiness signifying the absence of thought or feeling. Rather, it is a dense, affectively charged container holding generations of what Julia Kristeva terms "unrepresented loss”—a state where the traumatic experience remains locked as the unnamable 'Thing' (la Chose), resisting entry into the symbolic order" (Kristeva &amp; </w:t>
      </w:r>
      <w:r>
        <w:rPr>
          <w:sz w:val="24"/>
          <w:szCs w:val="24"/>
        </w:rPr>
        <w:lastRenderedPageBreak/>
        <w:t>Roudiez, 2024). It functions simultaneously as a relational etiquette in a high context society, a strategy for survival in a patriarchal structure, and a repository for a specific form of historical trauma—what I term the "trauma of compliance."</w:t>
      </w:r>
    </w:p>
    <w:p w14:paraId="0000000A" w14:textId="77777777" w:rsidR="00610F2C" w:rsidRDefault="00000000">
      <w:pPr>
        <w:spacing w:line="480" w:lineRule="auto"/>
        <w:ind w:firstLine="720"/>
        <w:rPr>
          <w:sz w:val="24"/>
          <w:szCs w:val="24"/>
        </w:rPr>
      </w:pPr>
      <w:r>
        <w:rPr>
          <w:sz w:val="24"/>
          <w:szCs w:val="24"/>
        </w:rPr>
        <w:t xml:space="preserve">This chapter explores how the reproductive bodies of Korean women have been positioned as instruments of family lineage and state planning—swinging from the anti-natalist policies of the 1970s to the desperate pro-natalism of the 2020s. Specifically, I examine the cultural archetypes of the "Sinner-Mother" and the violent naming conventions of daughters - such as </w:t>
      </w:r>
      <w:r>
        <w:rPr>
          <w:i/>
          <w:iCs/>
          <w:sz w:val="24"/>
          <w:szCs w:val="24"/>
        </w:rPr>
        <w:t>Hu-nam</w:t>
      </w:r>
      <w:r>
        <w:rPr>
          <w:sz w:val="24"/>
          <w:szCs w:val="24"/>
        </w:rPr>
        <w:t xml:space="preserve"> (literally next, a male) and </w:t>
      </w:r>
      <w:r>
        <w:rPr>
          <w:i/>
          <w:iCs/>
          <w:sz w:val="24"/>
          <w:szCs w:val="24"/>
        </w:rPr>
        <w:t>Mal-sun (the last daughter</w:t>
      </w:r>
      <w:r>
        <w:rPr>
          <w:sz w:val="24"/>
          <w:szCs w:val="24"/>
        </w:rPr>
        <w:t>) to illuminate the psychic roots of the current demographic crisis. Furthermore, utilizing Freud’s distinction between mourning and melancholia, I analyze how the unresolved grief (</w:t>
      </w:r>
      <w:r>
        <w:rPr>
          <w:i/>
          <w:iCs/>
          <w:sz w:val="24"/>
          <w:szCs w:val="24"/>
        </w:rPr>
        <w:t>Han</w:t>
      </w:r>
      <w:r>
        <w:rPr>
          <w:sz w:val="24"/>
          <w:szCs w:val="24"/>
        </w:rPr>
        <w:t xml:space="preserve">) of the mothers has been transmitted to the daughters—that is, not through explicit narrative or conscious instruction, but through the transformation of unspoken affect into bodily attitudes, relational expectations, and unconscious mandates within the mother–daughter relationship. Finally, I argue that the contemporary silence of Korean women—manifested in historically unprecedented declines in childbirth, including the world’s lowest fertility rate (0.72 in 2023), together with marked shifts in attitudes toward marriage and reproduction, as evidenced by national surveys showing that growing proportions of young and unmarried women do not regard marriage or childbirth as necessary     —is no longer a sign of passive compliance (OECD, 2024; Lim, 2022). It is, instead, an active, deafening form of resistance and a reclaiming of subjectivity against a history that treated their wombs as public property. </w:t>
      </w:r>
    </w:p>
    <w:p w14:paraId="0000000B" w14:textId="77777777" w:rsidR="00610F2C" w:rsidRDefault="00000000">
      <w:pPr>
        <w:spacing w:line="480" w:lineRule="auto"/>
        <w:ind w:firstLine="720"/>
        <w:rPr>
          <w:sz w:val="24"/>
          <w:szCs w:val="24"/>
        </w:rPr>
      </w:pPr>
      <w:r>
        <w:rPr>
          <w:sz w:val="24"/>
          <w:szCs w:val="24"/>
        </w:rPr>
        <w:t xml:space="preserve">Although abortion was formally criminalized under the 1953 Penal Code, its lived reality in Korea diverged sharply from its legal status (Sung, 2012). Beginning in the 1970s, the state’s aggressive anti-natalist campaign—designed to reduce fertility for economic modernization—led to the tacit toleration of abortion in clinical practice (Jeon &amp; Seo, 2003). </w:t>
      </w:r>
      <w:r>
        <w:rPr>
          <w:sz w:val="24"/>
          <w:szCs w:val="24"/>
        </w:rPr>
        <w:lastRenderedPageBreak/>
        <w:t>Physicians routinely performed illegal procedures, and families relied on abortion as a pragmatic tool for family planning. Yet this tacit permissibility shifted dramatically when ultrasound technology became widely available in the 1980s. Abortion, once a quiet method of limiting births, became a vehicle for enforcing patriarchal lineage through sex selection (Jeon &amp; Seo, 2003). Thus, the cultural meaning of abortion in Korea has never been reducible to “choice” or “right”; instead, it has oscillated between state-driven population control and patriarchal lineage preservation. This ambivalent status is the backdrop against which Korean women’s reproductive silence must be understood.</w:t>
      </w:r>
    </w:p>
    <w:p w14:paraId="0000000C"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I. Historical &amp; Cultural Context: The Architecture of Silence</w:t>
      </w:r>
    </w:p>
    <w:p w14:paraId="0000000D" w14:textId="77777777" w:rsidR="00610F2C" w:rsidRDefault="00000000">
      <w:pPr>
        <w:spacing w:line="480" w:lineRule="auto"/>
        <w:rPr>
          <w:sz w:val="24"/>
          <w:szCs w:val="24"/>
        </w:rPr>
      </w:pPr>
      <w:r>
        <w:rPr>
          <w:sz w:val="24"/>
          <w:szCs w:val="24"/>
        </w:rPr>
        <w:t>Understanding women’s reproductive experiences in South Korea requires attention to the cultural and historical structures within which these experiences have taken shape. The silence, responsibility, and compliance that surround reproduction are not incidental; they are the product of decades of accumulated meanings, social expectations, and emotional transmission. This section outlines the cultural landscape that has shaped how Korean women come to feel, internalize, and speak—or refrain from speaking—about reproduction.</w:t>
      </w:r>
    </w:p>
    <w:p w14:paraId="0000000E" w14:textId="77777777" w:rsidR="00610F2C" w:rsidRDefault="00000000">
      <w:pPr>
        <w:pStyle w:val="Heading3"/>
        <w:spacing w:line="480" w:lineRule="auto"/>
        <w:rPr>
          <w:rFonts w:ascii="Times New Roman" w:eastAsia="Times New Roman" w:hAnsi="Times New Roman" w:cs="Times New Roman"/>
          <w:b/>
          <w:bCs/>
        </w:rPr>
      </w:pPr>
      <w:r>
        <w:rPr>
          <w:rFonts w:ascii="Times New Roman" w:eastAsia="Times New Roman" w:hAnsi="Times New Roman" w:cs="Times New Roman"/>
          <w:b/>
          <w:bCs/>
        </w:rPr>
        <w:t xml:space="preserve">1. A Family-Centered Society and the Gendered Burden of Reproduction </w:t>
      </w:r>
      <w:r>
        <w:rPr>
          <w:rFonts w:ascii="Times New Roman" w:eastAsia="Times New Roman" w:hAnsi="Times New Roman" w:cs="Times New Roman"/>
          <w:b/>
          <w:bCs/>
        </w:rPr>
        <w:br/>
      </w:r>
      <w:r>
        <w:rPr>
          <w:rFonts w:ascii="Times New Roman" w:eastAsia="Times New Roman" w:hAnsi="Times New Roman" w:cs="Times New Roman"/>
        </w:rPr>
        <w:t>Traditionally, Korean society has been structured around strong familial collectivism, filial piety (</w:t>
      </w:r>
      <w:r>
        <w:rPr>
          <w:rFonts w:ascii="Times New Roman" w:eastAsia="Times New Roman" w:hAnsi="Times New Roman" w:cs="Times New Roman"/>
          <w:i/>
          <w:iCs/>
        </w:rPr>
        <w:t>Hyo</w:t>
      </w:r>
      <w:r>
        <w:rPr>
          <w:rFonts w:ascii="Times New Roman" w:eastAsia="Times New Roman" w:hAnsi="Times New Roman" w:cs="Times New Roman"/>
        </w:rPr>
        <w:t>), and the moral imperative to “</w:t>
      </w:r>
      <w:r>
        <w:rPr>
          <w:rFonts w:ascii="Times New Roman" w:eastAsia="Times New Roman" w:hAnsi="Times New Roman" w:cs="Times New Roman"/>
          <w:i/>
          <w:iCs/>
        </w:rPr>
        <w:t>continue the family line</w:t>
      </w:r>
      <w:r>
        <w:rPr>
          <w:rFonts w:ascii="Times New Roman" w:eastAsia="Times New Roman" w:hAnsi="Times New Roman" w:cs="Times New Roman"/>
        </w:rPr>
        <w:t>” (Park &amp; Cho, 1995). Within this relational framework, reproduction was not treated as an individual life choice or a private event between a couple. Instead, it was elevated to a moral and intergenerational duty—a responsibility to sustain the lineage, honor one’s ancestors, and contribute to the stability of the family collective.</w:t>
      </w:r>
    </w:p>
    <w:p w14:paraId="0000000F" w14:textId="77777777" w:rsidR="00610F2C" w:rsidRDefault="00000000">
      <w:pPr>
        <w:spacing w:line="480" w:lineRule="auto"/>
        <w:ind w:firstLine="720"/>
        <w:rPr>
          <w:sz w:val="24"/>
          <w:szCs w:val="24"/>
        </w:rPr>
      </w:pPr>
      <w:r>
        <w:rPr>
          <w:sz w:val="24"/>
          <w:szCs w:val="24"/>
        </w:rPr>
        <w:t xml:space="preserve">Women, therefore, were not positioned as autonomous reproductive subjects. Rather, </w:t>
      </w:r>
      <w:r>
        <w:rPr>
          <w:sz w:val="24"/>
          <w:szCs w:val="24"/>
        </w:rPr>
        <w:lastRenderedPageBreak/>
        <w:t xml:space="preserve">their bodies were viewed as vessels for the continuity of the patrilineage, specifically through the birth of a male heir. This cultural positioning left little room for articulating personal desire, conflict, or ambivalence. The social meaning of pregnancy (as a fulfillment of duty) or abortion (as a failure of duty or a necessity for family planning) always outweighed any individual emotional truth. Reproductive decisions were thus made not through the question of “What do I want?” but “For whom must I do this?” This relational moral framework created conditions in which some emotions tied to reproduction—fear, sorrow, resentment, or resistance—were fundamentally difficult to voice. Over time, these unspoken feelings accumulated as affective burdens carried in silence. Women learned that reproductive events were to be handled discreetly, efficiently, and without excessive affect. Conversations about pregnancy or abortion, when they occurred at all, tended to revolve around logistics—timing, finances, or family circumstances—rather than around subjective meaning or emotional conflict. Feelings that exceeded these pragmatic frames, such as ambivalence toward motherhood, relief after an abortion, or anger at reproductive expectations, were often met with silence or gentle moral redirection. Over time, many women came to experience such emotions as illegitimate or inappropriate, internalizing the sense that to speak of them would be selfish, immature, or disruptive to familial harmony. In this way, reproductive experience was shaped not only by external demands but by a learned discipline of emotional containment, in which what could not be spoken was instead absorbed into the body and psyche as a private burden. </w:t>
      </w:r>
    </w:p>
    <w:p w14:paraId="00000010" w14:textId="77777777" w:rsidR="00610F2C" w:rsidRDefault="00000000">
      <w:pPr>
        <w:pStyle w:val="Heading3"/>
        <w:spacing w:line="480" w:lineRule="auto"/>
        <w:rPr>
          <w:rFonts w:ascii="Times New Roman" w:eastAsia="Times New Roman" w:hAnsi="Times New Roman" w:cs="Times New Roman"/>
        </w:rPr>
      </w:pPr>
      <w:r>
        <w:rPr>
          <w:rFonts w:ascii="Times New Roman" w:eastAsia="Times New Roman" w:hAnsi="Times New Roman" w:cs="Times New Roman"/>
          <w:b/>
          <w:bCs/>
        </w:rPr>
        <w:lastRenderedPageBreak/>
        <w:t xml:space="preserve">2. The 1980–1990s: Rapid Transitions and the Paradox of Demographic Pressure </w:t>
      </w:r>
      <w:r>
        <w:rPr>
          <w:rFonts w:ascii="Times New Roman" w:eastAsia="Times New Roman" w:hAnsi="Times New Roman" w:cs="Times New Roman"/>
          <w:b/>
          <w:bCs/>
        </w:rPr>
        <w:br/>
      </w:r>
      <w:r>
        <w:rPr>
          <w:rFonts w:ascii="Times New Roman" w:eastAsia="Times New Roman" w:hAnsi="Times New Roman" w:cs="Times New Roman"/>
        </w:rPr>
        <w:t xml:space="preserve">The last decades of the twentieth century intensified these dynamics in paradoxical ways. Legally, abortion remained a criminal offense throughout these decades, except under the narrow exceptions allowed by the 1973 Mother and Child Health Act(Sung, 2012; Jeon &amp; Seo, 2002; Park &amp; Cho, 1995; D. Kim et al., 2019). Yet enforcement was inconsistent and selective. While ordinary women lived with the constant fear of being labeled criminals, medical providers were rarely prosecuted, and the state quietly relied on abortion to achieve demographic objectives. This legal hypocrisy amplified the psychic double bind for women: they were told, on the one hand, that abortion was morally and legally wrong, and yet, on the other hand, they were pressured—by family or by national policy—to undergo the very procedure they were forbidden to speak about. The prohibition of abortion, therefore, did not reduce its prevalence; it merely forced women to bear the moral burden of a practice society required but refused to acknowledge. </w:t>
      </w:r>
    </w:p>
    <w:p w14:paraId="00000011" w14:textId="77777777" w:rsidR="00610F2C" w:rsidRDefault="00000000">
      <w:pPr>
        <w:pStyle w:val="Heading3"/>
        <w:spacing w:line="480" w:lineRule="auto"/>
        <w:ind w:firstLine="720"/>
        <w:rPr>
          <w:rFonts w:ascii="Times New Roman" w:eastAsia="Times New Roman" w:hAnsi="Times New Roman" w:cs="Times New Roman"/>
          <w:b/>
          <w:bCs/>
        </w:rPr>
      </w:pPr>
      <w:r>
        <w:rPr>
          <w:rFonts w:ascii="Times New Roman" w:eastAsia="Times New Roman" w:hAnsi="Times New Roman" w:cs="Times New Roman"/>
        </w:rPr>
        <w:t>South Korea transitioned swiftly from a period of state-driven fertility suppression to an era of concern about low birth rates, all while remnants of patriarchal values concerning lineage endured. In the 1970s and 80s, the military government launched aggressive family planning campaigns with slogans like "</w:t>
      </w:r>
      <w:r>
        <w:rPr>
          <w:rFonts w:ascii="Times New Roman" w:eastAsia="Times New Roman" w:hAnsi="Times New Roman" w:cs="Times New Roman"/>
          <w:i/>
          <w:iCs/>
        </w:rPr>
        <w:t>Have two children and raise them well</w:t>
      </w:r>
      <w:r>
        <w:rPr>
          <w:rFonts w:ascii="Times New Roman" w:eastAsia="Times New Roman" w:hAnsi="Times New Roman" w:cs="Times New Roman"/>
        </w:rPr>
        <w:t>" (Narrative, 2013). Women’s bodies were enlisted for national economic goals: they were urged to limit reproduction for the sake of modernization. Yet, inside the domestic sphere, the patriarchal demand for a son remained absolute.</w:t>
      </w:r>
    </w:p>
    <w:p w14:paraId="00000012" w14:textId="77777777" w:rsidR="00610F2C" w:rsidRDefault="00000000">
      <w:pPr>
        <w:spacing w:line="480" w:lineRule="auto"/>
        <w:ind w:firstLine="720"/>
        <w:rPr>
          <w:sz w:val="24"/>
          <w:szCs w:val="24"/>
        </w:rPr>
      </w:pPr>
      <w:r>
        <w:rPr>
          <w:sz w:val="24"/>
          <w:szCs w:val="24"/>
        </w:rPr>
        <w:t xml:space="preserve">This produced a culturally embedded paradox: Women were responsible for managing the population (limiting births), but the value of the child did not belong to them (it belonged to the husband’s lineage). This paradox manifested violently in the "Era of Vanished Sisters." Confronted with the state’s demand for fewer children and the family’s </w:t>
      </w:r>
      <w:r>
        <w:rPr>
          <w:sz w:val="24"/>
          <w:szCs w:val="24"/>
        </w:rPr>
        <w:lastRenderedPageBreak/>
        <w:t>demand for a son, women were forced into sex-selective abortions. It was in this era that the chilling idiom "A mother who bears a daughter is a sinner" became a psychic reality. The mother became a "sinner" not because she committed a crime, but because she failed to navigate this impossible double bind. Psychologically, this double bind did not register as a single traumatic event, but as a chronic condition of moral suffocation. Women were placed in situations in which any available option—continuing a pregnancy, terminating it, or speaking about it—risked condemnation. A daughter carried to term could mark a mother as having failed her familial duty, while an abortion undertaken to avoid such failure remained illegal and morally unspeakable. In many families, this contradiction was not openly discussed but managed through implication, silence, or practical directives. A woman might be told, for instance, that “this is not a good time,” that “everyone does it quietly,” or that “it would be a problem for the family,” without the conflict ever being named as such. Over time, this produced a distinctive psychic adaptation: women learned to experience reproductive decisions not as choices to be reflected upon, but as burdens to be endured and managed privately.</w:t>
      </w:r>
    </w:p>
    <w:p w14:paraId="00000013" w14:textId="77777777" w:rsidR="00610F2C" w:rsidRDefault="00000000">
      <w:pPr>
        <w:spacing w:line="480" w:lineRule="auto"/>
        <w:ind w:firstLine="720"/>
        <w:rPr>
          <w:sz w:val="24"/>
          <w:szCs w:val="24"/>
        </w:rPr>
      </w:pPr>
      <w:r>
        <w:rPr>
          <w:sz w:val="24"/>
          <w:szCs w:val="24"/>
        </w:rPr>
        <w:t>It is within this context that the linguistic inscription of reproductive expectation into daughters’ names acquires its full psychological force. Names such as Hu-nam (“after this, a son”) or Mal-sun (“the last daughter”) did not simply express hope; they condensed an entire history of impossible demands into everyday address. To be called by such a name was to be reminded, repeatedly and without commentary, that one’s existence stood in for a problem that had not been resolved. In this way, the double bind of abortion—illegal yet required, forbidden yet necessary—was transmitted not only through law or policy, but through the ordinary language of family life.</w:t>
      </w:r>
    </w:p>
    <w:p w14:paraId="00000014" w14:textId="77777777" w:rsidR="00610F2C" w:rsidRDefault="00610F2C">
      <w:pPr>
        <w:spacing w:line="480" w:lineRule="auto"/>
        <w:rPr>
          <w:sz w:val="24"/>
          <w:szCs w:val="24"/>
        </w:rPr>
      </w:pPr>
    </w:p>
    <w:p w14:paraId="00000015" w14:textId="77777777" w:rsidR="00610F2C" w:rsidRDefault="00000000">
      <w:pPr>
        <w:pStyle w:val="Heading3"/>
        <w:spacing w:line="480" w:lineRule="auto"/>
        <w:rPr>
          <w:rFonts w:ascii="Times New Roman" w:eastAsia="Times New Roman" w:hAnsi="Times New Roman" w:cs="Times New Roman"/>
        </w:rPr>
      </w:pPr>
      <w:r>
        <w:rPr>
          <w:rFonts w:ascii="Times New Roman" w:eastAsia="Times New Roman" w:hAnsi="Times New Roman" w:cs="Times New Roman"/>
          <w:b/>
          <w:bCs/>
        </w:rPr>
        <w:lastRenderedPageBreak/>
        <w:t xml:space="preserve">3. Unspoken Norms: Compliance, Consideration, and Self-Effacement </w:t>
      </w:r>
      <w:r>
        <w:rPr>
          <w:rFonts w:ascii="Times New Roman" w:eastAsia="Times New Roman" w:hAnsi="Times New Roman" w:cs="Times New Roman"/>
          <w:b/>
          <w:bCs/>
        </w:rPr>
        <w:br/>
      </w:r>
      <w:r>
        <w:rPr>
          <w:rFonts w:ascii="Times New Roman" w:eastAsia="Times New Roman" w:hAnsi="Times New Roman" w:cs="Times New Roman"/>
        </w:rPr>
        <w:t>How did women survive this paradox? They survived through silence. Korea’s relational culture places a high value on social attunement and emotional restraint to preserve group harmony (Park &amp; Cho, 1995). Within this emotional ecology, topics involving sexuality, unintended pregnancy, and abortion were considered too disruptive, too shame-laden, and too dangerous to be openly discussed.</w:t>
      </w:r>
    </w:p>
    <w:p w14:paraId="00000016" w14:textId="77777777" w:rsidR="00610F2C" w:rsidRDefault="00000000">
      <w:pPr>
        <w:spacing w:line="480" w:lineRule="auto"/>
        <w:ind w:firstLine="720"/>
        <w:rPr>
          <w:color w:val="000000"/>
          <w:sz w:val="24"/>
          <w:szCs w:val="24"/>
        </w:rPr>
      </w:pPr>
      <w:r>
        <w:rPr>
          <w:color w:val="000000"/>
          <w:sz w:val="24"/>
          <w:szCs w:val="24"/>
        </w:rPr>
        <w:t>Silence, therefore, functioned as more than avoidance; it became a learned form of emotional discipline. Importantly, this silence was rarely taught through explicit prohibition. Rather, women came to know what could not be spoken through everyday relational cues: the sudden change of topic when pregnancy was mentioned, the emphasis on “not upsetting” elders, the practical tone in which reproductive matters were handled, or the quiet assumption that certain experiences should be endured privately. In this sense, silence was not always a fully conscious decision, but a mode of adaptation gradually internalized through repeated encounters with what elicited discomfort, disapproval, or moral correction.</w:t>
      </w:r>
    </w:p>
    <w:p w14:paraId="00000017" w14:textId="77777777" w:rsidR="00610F2C" w:rsidRDefault="00000000">
      <w:pPr>
        <w:spacing w:line="480" w:lineRule="auto"/>
        <w:ind w:firstLine="720"/>
        <w:rPr>
          <w:color w:val="000000"/>
          <w:sz w:val="24"/>
          <w:szCs w:val="24"/>
        </w:rPr>
      </w:pPr>
      <w:r>
        <w:rPr>
          <w:color w:val="000000"/>
          <w:sz w:val="24"/>
          <w:szCs w:val="24"/>
        </w:rPr>
        <w:t>Many women learned to swallow their grief not because they were explicitly instructed to do so, but because speaking risked disturbing the fragile equilibrium of the family—worrying aging parents, inviting judgment, or threatening one’s position as a “good daughter” or “good wife.” Over time, restraint became second nature. Emotions tied to reproduction—fear, ambivalence, relief after abortion, or resentment toward familial expectations—were felt intensely but held without language.</w:t>
      </w:r>
    </w:p>
    <w:p w14:paraId="00000018" w14:textId="77777777" w:rsidR="00610F2C" w:rsidRDefault="00000000">
      <w:pPr>
        <w:spacing w:line="480" w:lineRule="auto"/>
        <w:ind w:firstLine="720"/>
        <w:rPr>
          <w:b/>
          <w:bCs/>
          <w:color w:val="000000"/>
          <w:sz w:val="24"/>
          <w:szCs w:val="24"/>
        </w:rPr>
      </w:pPr>
      <w:r>
        <w:rPr>
          <w:color w:val="000000"/>
          <w:sz w:val="24"/>
          <w:szCs w:val="24"/>
        </w:rPr>
        <w:t xml:space="preserve">This dynamic is closely linked to what anthropologists describe as a </w:t>
      </w:r>
      <w:r>
        <w:rPr>
          <w:i/>
          <w:iCs/>
          <w:color w:val="000000"/>
          <w:sz w:val="24"/>
          <w:szCs w:val="24"/>
        </w:rPr>
        <w:t>high-context society</w:t>
      </w:r>
      <w:r>
        <w:rPr>
          <w:color w:val="000000"/>
          <w:sz w:val="24"/>
          <w:szCs w:val="24"/>
        </w:rPr>
        <w:t xml:space="preserve">, in which meaning is conveyed less through direct verbalization than through shared assumptions, relational sensitivity, and situational cues. In such contexts, what remains </w:t>
      </w:r>
      <w:r>
        <w:rPr>
          <w:color w:val="000000"/>
          <w:sz w:val="24"/>
          <w:szCs w:val="24"/>
        </w:rPr>
        <w:lastRenderedPageBreak/>
        <w:t xml:space="preserve">unsaid often carries more weight than what is spoken aloud. Matters involving sexuality, unintended pregnancy, and abortion belonged firmly to this high-context domain: understood implicitly, managed pragmatically, but rarely articulated as subjective experience. When such emotional endurance accumulates over decades, feelings fail to become symbolized or represented in language. Instead, they persist as unarticulated affect—vulnerable to transforming into guilt, depression, somatic symptoms, or helplessness. This psychic terrain sets the stage for what psychoanalysis describes as </w:t>
      </w:r>
      <w:r>
        <w:rPr>
          <w:i/>
          <w:iCs/>
          <w:color w:val="000000"/>
          <w:sz w:val="24"/>
          <w:szCs w:val="24"/>
        </w:rPr>
        <w:t>unrepresented states</w:t>
      </w:r>
      <w:r>
        <w:rPr>
          <w:color w:val="000000"/>
          <w:sz w:val="24"/>
          <w:szCs w:val="24"/>
        </w:rPr>
        <w:t xml:space="preserve"> and </w:t>
      </w:r>
      <w:r>
        <w:rPr>
          <w:i/>
          <w:iCs/>
          <w:color w:val="000000"/>
          <w:sz w:val="24"/>
          <w:szCs w:val="24"/>
        </w:rPr>
        <w:t>cryptic mourning</w:t>
      </w:r>
      <w:r>
        <w:rPr>
          <w:color w:val="000000"/>
          <w:sz w:val="24"/>
          <w:szCs w:val="24"/>
        </w:rPr>
        <w:t>.</w:t>
      </w:r>
    </w:p>
    <w:p w14:paraId="00000019"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II. A Psychoanalytic Topography: From Han to Melancholia</w:t>
      </w:r>
    </w:p>
    <w:p w14:paraId="0000001A" w14:textId="77777777" w:rsidR="00610F2C" w:rsidRDefault="00000000">
      <w:pPr>
        <w:spacing w:line="480" w:lineRule="auto"/>
        <w:rPr>
          <w:color w:val="000000"/>
          <w:sz w:val="24"/>
          <w:szCs w:val="24"/>
        </w:rPr>
      </w:pPr>
      <w:r>
        <w:rPr>
          <w:color w:val="000000"/>
          <w:sz w:val="24"/>
          <w:szCs w:val="24"/>
        </w:rPr>
        <w:t>The historical suppression described above does not simply vanish; it is metabolized into the psyche. The silence surrounding reproductive experience becomes an internal silence. Drawing on Freud’s distinction between mourning and melancholia, we can trace how this cultural history of repression has been transmitted from mother to daughter, not only as explicit narrative but as affective atmosphere, bodily memory, and unconscious mandate.</w:t>
      </w:r>
      <w:r>
        <w:rPr>
          <w:sz w:val="24"/>
          <w:szCs w:val="24"/>
        </w:rPr>
        <w:t xml:space="preserve"> </w:t>
      </w:r>
      <w:r>
        <w:rPr>
          <w:color w:val="000000"/>
          <w:sz w:val="24"/>
          <w:szCs w:val="24"/>
        </w:rPr>
        <w:t>For daughters who grew up with the sense that their own birth had disappointed familial expectations, the prospect of pregnancy can reactivate earlier layers of maternal distress, even trauma-- rather than simply mark a new life stage. To become a mother is to potentially re-enter, psychically, the very position from which one once emerged—not as a welcomed subject, but as a problem to be managed. Reproduction is thus experienced less as an open future than as a recursive return to an unresolved past.</w:t>
      </w:r>
    </w:p>
    <w:p w14:paraId="0000001B" w14:textId="77777777" w:rsidR="00610F2C" w:rsidRDefault="00610F2C">
      <w:pPr>
        <w:spacing w:line="480" w:lineRule="auto"/>
        <w:rPr>
          <w:color w:val="000000"/>
          <w:sz w:val="24"/>
          <w:szCs w:val="24"/>
        </w:rPr>
      </w:pPr>
    </w:p>
    <w:p w14:paraId="0000001C" w14:textId="77777777" w:rsidR="00610F2C" w:rsidRDefault="00000000">
      <w:pPr>
        <w:pStyle w:val="Heading3"/>
        <w:spacing w:line="480" w:lineRule="auto"/>
        <w:rPr>
          <w:rFonts w:ascii="Times New Roman" w:eastAsia="Times New Roman" w:hAnsi="Times New Roman" w:cs="Times New Roman"/>
        </w:rPr>
      </w:pPr>
      <w:r>
        <w:rPr>
          <w:rFonts w:ascii="Times New Roman" w:eastAsia="Times New Roman" w:hAnsi="Times New Roman" w:cs="Times New Roman"/>
          <w:b/>
          <w:bCs/>
        </w:rPr>
        <w:t>1. Han as Cultural Melancholia</w:t>
      </w:r>
      <w:r>
        <w:rPr>
          <w:rFonts w:ascii="Times New Roman" w:eastAsia="Times New Roman" w:hAnsi="Times New Roman" w:cs="Times New Roman"/>
        </w:rPr>
        <w:t xml:space="preserve"> </w:t>
      </w:r>
    </w:p>
    <w:p w14:paraId="0000001D" w14:textId="77777777" w:rsidR="00610F2C" w:rsidRDefault="00000000">
      <w:pPr>
        <w:spacing w:line="480" w:lineRule="auto"/>
        <w:rPr>
          <w:color w:val="000000"/>
          <w:sz w:val="24"/>
          <w:szCs w:val="24"/>
        </w:rPr>
      </w:pPr>
      <w:r>
        <w:rPr>
          <w:color w:val="000000"/>
          <w:sz w:val="24"/>
          <w:szCs w:val="24"/>
        </w:rPr>
        <w:t xml:space="preserve">In Korea, the sediment of this unexpressed suffering is often referred to as 'Han'. Han is a </w:t>
      </w:r>
      <w:r>
        <w:rPr>
          <w:color w:val="000000"/>
          <w:sz w:val="24"/>
          <w:szCs w:val="24"/>
        </w:rPr>
        <w:lastRenderedPageBreak/>
        <w:t>unique cultural concept referring to a deep, sorrowful resentment and the passive endurance of injustice. It is the emotional state of a subject who has been wronged but possesses no effective language or power to rectify it. In this sense, Han can be understood as a culturally sanctioned name for what psychoanalysis might describe as a melancholic configuration.</w:t>
      </w:r>
    </w:p>
    <w:p w14:paraId="0000001E" w14:textId="77777777" w:rsidR="00610F2C" w:rsidRDefault="00000000">
      <w:pPr>
        <w:spacing w:line="480" w:lineRule="auto"/>
        <w:ind w:firstLine="720"/>
        <w:rPr>
          <w:color w:val="000000"/>
          <w:sz w:val="24"/>
          <w:szCs w:val="24"/>
        </w:rPr>
      </w:pPr>
      <w:r>
        <w:rPr>
          <w:color w:val="000000"/>
          <w:sz w:val="24"/>
          <w:szCs w:val="24"/>
        </w:rPr>
        <w:t xml:space="preserve">In “Mourning and Melancholia” (1917), Freud distinguishes mourning as a conscious reaction to a known loss from melancholia, in which the loss is unconscious, disavowed, or cannot be worked through.  In melancholia, the ego cannot detach itself from the lost object; instead, it identifies with it: “The shadow of the object fell upon the ego.” </w:t>
      </w:r>
    </w:p>
    <w:p w14:paraId="0000001F" w14:textId="77777777" w:rsidR="00610F2C" w:rsidRDefault="00000000">
      <w:pPr>
        <w:spacing w:line="480" w:lineRule="auto"/>
        <w:ind w:firstLine="720"/>
        <w:rPr>
          <w:color w:val="000000"/>
          <w:sz w:val="24"/>
          <w:szCs w:val="24"/>
        </w:rPr>
      </w:pPr>
      <w:r>
        <w:rPr>
          <w:color w:val="000000"/>
          <w:sz w:val="24"/>
          <w:szCs w:val="24"/>
        </w:rPr>
        <w:t>The mothers of the 1980s and 90s – the “Sinner-Mothers” – lived in just such a state of profound melancholia. They suffered multiple losses that could not be socially mourned: the loss of the daughters they were forced to abort, the loss of their own bodily autonomy, and the loss of their dignity within a patriarchal lineage system. As André Green has argued in his concept of the “dead mother,” when a mother is psychically withdrawn—often after a depressive blow or ungrievable loss—the child experiences her as a once-vital object that has turned distant, toneless, almost inanimate (Green, 1972). In the Korean context, cultural norms and legal structures forbade these women from expressing grief over a “necessary” abortion or a “failed” birth (a daughter), so the loss had to be swallowed instead. The Sinner-Mother who must silently carry the burden of abortions tacitly sanctioned by the state risks becoming just such a “dead” internal object: present in body, but affectively absent, her libido frozen around an unspoken reproductive trauma. It did not disappear; it condensed into Han – an indigestible lump of affect lodged in the psyche. In other words, abortion in this context was not experienced as an exercise of reproductive “choice,” but as a melancholic sacrifice demanded by the intertwined forces of state policy and patriarchal lineage.</w:t>
      </w:r>
    </w:p>
    <w:p w14:paraId="00000020" w14:textId="77777777" w:rsidR="00610F2C" w:rsidRDefault="00000000">
      <w:pPr>
        <w:spacing w:line="480" w:lineRule="auto"/>
        <w:rPr>
          <w:color w:val="000000"/>
          <w:sz w:val="24"/>
          <w:szCs w:val="24"/>
        </w:rPr>
      </w:pPr>
      <w:r>
        <w:rPr>
          <w:color w:val="000000"/>
          <w:sz w:val="24"/>
          <w:szCs w:val="24"/>
        </w:rPr>
        <w:lastRenderedPageBreak/>
        <w:t>Julia Kristeva’s work on depression and melancholia is particularly illuminating in this regard (Kristeva &amp; Roudiez, 2024). She describes a form of suffering in which affect cannot be adequately represented in words or images, so that the subject experiences a kind of “black sun” – an inner eclipse in which language falters and the loss itself remains unnamed. In such unrepresented states, the subject feels heavy, guilty, or emptied out without being able to articulate what, exactly, has been lost. The silence surrounding abortion and reproductive trauma in Korea fostered precisely these conditions. Women were permitted to act – to undergo abortions that were officially illegal yet pragmatically required – but they were not permitted to speak. The act was tolerated; the affect was not. What could not be mourned became melancholic Han.</w:t>
      </w:r>
    </w:p>
    <w:p w14:paraId="00000021" w14:textId="77777777" w:rsidR="00610F2C" w:rsidRDefault="00610F2C">
      <w:pPr>
        <w:spacing w:line="480" w:lineRule="auto"/>
        <w:rPr>
          <w:color w:val="000000"/>
          <w:sz w:val="24"/>
          <w:szCs w:val="24"/>
        </w:rPr>
      </w:pPr>
    </w:p>
    <w:p w14:paraId="00000022" w14:textId="77777777" w:rsidR="00610F2C" w:rsidRDefault="00000000">
      <w:pPr>
        <w:pStyle w:val="Heading3"/>
        <w:spacing w:line="480" w:lineRule="auto"/>
        <w:rPr>
          <w:rFonts w:ascii="Times New Roman" w:eastAsia="Times New Roman" w:hAnsi="Times New Roman" w:cs="Times New Roman"/>
        </w:rPr>
      </w:pPr>
      <w:r>
        <w:rPr>
          <w:rFonts w:ascii="Times New Roman" w:eastAsia="Times New Roman" w:hAnsi="Times New Roman" w:cs="Times New Roman"/>
          <w:b/>
          <w:bCs/>
        </w:rPr>
        <w:t>2. Transgenerational Transmission: The Introjection of Han</w:t>
      </w:r>
      <w:r>
        <w:rPr>
          <w:rFonts w:ascii="Times New Roman" w:eastAsia="Times New Roman" w:hAnsi="Times New Roman" w:cs="Times New Roman"/>
        </w:rPr>
        <w:t xml:space="preserve"> </w:t>
      </w:r>
    </w:p>
    <w:p w14:paraId="00000023" w14:textId="77777777" w:rsidR="00610F2C" w:rsidRDefault="00000000">
      <w:pPr>
        <w:spacing w:line="480" w:lineRule="auto"/>
        <w:rPr>
          <w:color w:val="000000"/>
          <w:sz w:val="24"/>
          <w:szCs w:val="24"/>
        </w:rPr>
      </w:pPr>
      <w:r>
        <w:rPr>
          <w:color w:val="000000"/>
          <w:sz w:val="24"/>
          <w:szCs w:val="24"/>
        </w:rPr>
        <w:t>This melancholic Han is not contained within one individual; it is relationally transmitted. The daughter grows up watching her mother move through life with a mixture of resignation, self-effacement, and inexplicable sorrow. She senses, often without words, that something terrible has happened – that her mother carries a wound that cannot be talked about. In order to preserve the bond, she unconsciously “introjects” the mother’s pain. She takes into herself not only the stories she is told but also the ones that are conspicuously absent.</w:t>
      </w:r>
    </w:p>
    <w:p w14:paraId="00000024" w14:textId="77777777" w:rsidR="00610F2C" w:rsidRDefault="00000000">
      <w:pPr>
        <w:spacing w:line="480" w:lineRule="auto"/>
        <w:ind w:firstLine="720"/>
        <w:rPr>
          <w:color w:val="000000"/>
          <w:sz w:val="24"/>
          <w:szCs w:val="24"/>
        </w:rPr>
      </w:pPr>
      <w:r>
        <w:rPr>
          <w:color w:val="000000"/>
          <w:sz w:val="24"/>
          <w:szCs w:val="24"/>
        </w:rPr>
        <w:t xml:space="preserve">Abraham and Torok’s concepts of the crypt and cryptic mourning offer a powerful way to think about this transmission (Abraham, 1994). When a loss cannot be acknowledged – because it is shameful, forbidden, or too threatening to the surrounding structure – it is not introjected and symbolically worked through. Instead, it is incorporated and sealed within an inner crypt, like a secret tomb inside the ego. The subject then carries within herself a kind of </w:t>
      </w:r>
      <w:r>
        <w:rPr>
          <w:color w:val="000000"/>
          <w:sz w:val="24"/>
          <w:szCs w:val="24"/>
        </w:rPr>
        <w:lastRenderedPageBreak/>
        <w:t>“foreign body”: a sealed-off enclave containing unspoken grief, unformulated terrors, and the unavowed memories of others. What has been buried alive in the crypt does not remain silent; it returns as a phantom – a haunting presence that speaks through strange affects, self-sabotaging choices, and seemingly irrational guilt.</w:t>
      </w:r>
    </w:p>
    <w:p w14:paraId="00000025" w14:textId="77777777" w:rsidR="00610F2C" w:rsidRDefault="00000000">
      <w:pPr>
        <w:spacing w:line="480" w:lineRule="auto"/>
        <w:ind w:firstLine="720"/>
        <w:rPr>
          <w:color w:val="000000"/>
          <w:sz w:val="24"/>
          <w:szCs w:val="24"/>
        </w:rPr>
      </w:pPr>
      <w:r>
        <w:rPr>
          <w:color w:val="000000"/>
          <w:sz w:val="24"/>
          <w:szCs w:val="24"/>
        </w:rPr>
        <w:t>We might say that the daughters of the “Sinner-Mothers” carry within them a crypt filled with the ghosts of unborn sisters and the unlived lives of their mothers. They inherit not only genetic material and explicit narratives, but also the psychic mandate to repair what could not be repaired. Consequently, for many contemporary Korean women, the prospect of reproduction is not a neutral biological event. It is a re-entry into the site of the mother’s trauma, an encounter with the crypt. To become a mother is to risk becoming the “Sinner” herself – to risk being blamed for failing to produce a son, or for repeating the cycle of sacrifice and silence.</w:t>
      </w:r>
    </w:p>
    <w:p w14:paraId="00000026" w14:textId="77777777" w:rsidR="00610F2C" w:rsidRDefault="00000000">
      <w:pPr>
        <w:spacing w:line="480" w:lineRule="auto"/>
        <w:ind w:firstLine="720"/>
        <w:rPr>
          <w:color w:val="000000"/>
          <w:sz w:val="24"/>
          <w:szCs w:val="24"/>
        </w:rPr>
      </w:pPr>
      <w:r>
        <w:rPr>
          <w:color w:val="000000"/>
          <w:sz w:val="24"/>
          <w:szCs w:val="24"/>
        </w:rPr>
        <w:t>In this light, the contemporary refusal to marry or give birth is not merely a lifestyle preference or a generational whim. It can be understood as an attempt that originates in unconscious transmission, but which, in the contemporary context, may also take the form of a partially conscious refusal.. By declining to step into the maternal position, some women are trying, however unconsciously, to prevent the “shadow of the object” from falling upon yet another generation. They are saying: this pain stops here. What appears, at the social level, as a demographic “crisis” can thus also be read as a psychological act of refusal – a refusal to house yet another crypt inside the next child.</w:t>
      </w:r>
    </w:p>
    <w:p w14:paraId="00000027" w14:textId="77777777" w:rsidR="00610F2C" w:rsidRDefault="00000000">
      <w:pPr>
        <w:spacing w:line="480" w:lineRule="auto"/>
        <w:ind w:firstLine="720"/>
        <w:rPr>
          <w:sz w:val="24"/>
          <w:szCs w:val="24"/>
        </w:rPr>
      </w:pPr>
      <w:r>
        <w:rPr>
          <w:sz w:val="24"/>
          <w:szCs w:val="24"/>
        </w:rPr>
        <w:t xml:space="preserve">These cryptic transmissions do not only occur in fantasy; they inscribe themselves on the body. In clinical practice, one often encounters women who speak of a diffuse dread of pregnancy, a visceral refusal of marriage, or a chronic sense that “motherhood is a kind of </w:t>
      </w:r>
      <w:r>
        <w:rPr>
          <w:sz w:val="24"/>
          <w:szCs w:val="24"/>
        </w:rPr>
        <w:lastRenderedPageBreak/>
        <w:t>death,” even when they cannot point to any overtly traumatic event in their personal biographies. Their narratives are often punctuated by references to their mothers’ exhausted bodies, to overheard remarks about “useless daughters,” or to the silent, hurried trips their mothers took to clinics when they were young.</w:t>
      </w:r>
    </w:p>
    <w:p w14:paraId="00000028" w14:textId="77777777" w:rsidR="00610F2C" w:rsidRDefault="00000000">
      <w:pPr>
        <w:spacing w:line="480" w:lineRule="auto"/>
        <w:ind w:firstLine="720"/>
        <w:rPr>
          <w:sz w:val="24"/>
          <w:szCs w:val="24"/>
        </w:rPr>
        <w:sectPr w:rsidR="00610F2C">
          <w:footerReference w:type="default" r:id="rId7"/>
          <w:pgSz w:w="11906" w:h="16838"/>
          <w:pgMar w:top="1701" w:right="1440" w:bottom="1440" w:left="1440" w:header="851" w:footer="992" w:gutter="0"/>
          <w:pgNumType w:start="1"/>
          <w:cols w:space="720"/>
        </w:sectPr>
      </w:pPr>
      <w:r>
        <w:rPr>
          <w:sz w:val="24"/>
          <w:szCs w:val="24"/>
        </w:rPr>
        <w:t xml:space="preserve">From a psychoanalytic perspective, such symptoms can be seen as the somatic and relational expressions of unrepresented states and cryptic mourning. The body becomes the stage on which the unspeakable history of reproductive violence is replayed. Decisions not to marry, not to have children, or to delay childbirth indefinitely may function as forms of negative action – </w:t>
      </w:r>
      <w:r>
        <w:rPr>
          <w:i/>
          <w:iCs/>
          <w:sz w:val="24"/>
          <w:szCs w:val="24"/>
        </w:rPr>
        <w:t>not-doing</w:t>
      </w:r>
      <w:r>
        <w:rPr>
          <w:sz w:val="24"/>
          <w:szCs w:val="24"/>
        </w:rPr>
        <w:t xml:space="preserve"> as a way of protecting both self and potential others from an inherited economy of sacrifice and guilt. In other words, what looks like demographic “inaction” may, at the psychic level, be a deeply meaningful attempt to renegotiate the terms of lineage, to disentangle femininity from compulsory suffering.</w:t>
      </w:r>
    </w:p>
    <w:p w14:paraId="00000029"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Part III. The Rupture: The Collapse of the "Compliant Self"</w:t>
      </w:r>
    </w:p>
    <w:p w14:paraId="0000002A" w14:textId="77777777" w:rsidR="00610F2C" w:rsidRDefault="00000000">
      <w:pPr>
        <w:spacing w:line="480" w:lineRule="auto"/>
        <w:rPr>
          <w:sz w:val="24"/>
          <w:szCs w:val="24"/>
        </w:rPr>
      </w:pPr>
      <w:r>
        <w:rPr>
          <w:sz w:val="24"/>
          <w:szCs w:val="24"/>
        </w:rPr>
        <w:t xml:space="preserve">The suffocating silence that held the "Sinner-Mothers" captive began to crack in the 2010s. This rupture was not sudden but precipitated by a convergence of intensifying gender conflicts, legal battles, and a profound shift in the psychic economy of younger women. To understand this shift, we must return to Jessica Benjamin’s psychoanalytic framework of recognition. </w:t>
      </w:r>
    </w:p>
    <w:p w14:paraId="0000002B" w14:textId="77777777" w:rsidR="00610F2C" w:rsidRDefault="00610F2C">
      <w:pPr>
        <w:spacing w:line="480" w:lineRule="auto"/>
        <w:rPr>
          <w:sz w:val="24"/>
          <w:szCs w:val="24"/>
        </w:rPr>
      </w:pPr>
    </w:p>
    <w:p w14:paraId="0000002C" w14:textId="77777777" w:rsidR="00610F2C" w:rsidRDefault="00000000">
      <w:pPr>
        <w:pStyle w:val="Heading3"/>
        <w:spacing w:line="480" w:lineRule="auto"/>
        <w:rPr>
          <w:rFonts w:ascii="Times New Roman" w:eastAsia="Times New Roman" w:hAnsi="Times New Roman" w:cs="Times New Roman"/>
          <w:b/>
          <w:bCs/>
        </w:rPr>
      </w:pPr>
      <w:r>
        <w:rPr>
          <w:rFonts w:ascii="Times New Roman" w:eastAsia="Times New Roman" w:hAnsi="Times New Roman" w:cs="Times New Roman"/>
          <w:b/>
          <w:bCs/>
        </w:rPr>
        <w:t xml:space="preserve">1. The Asymmetry of Recognition and the Breakdown of Complementarity </w:t>
      </w:r>
    </w:p>
    <w:p w14:paraId="0000002D" w14:textId="77777777" w:rsidR="00610F2C" w:rsidRDefault="00000000">
      <w:pPr>
        <w:spacing w:line="480" w:lineRule="auto"/>
        <w:rPr>
          <w:color w:val="000000"/>
          <w:sz w:val="24"/>
          <w:szCs w:val="24"/>
        </w:rPr>
      </w:pPr>
      <w:r>
        <w:rPr>
          <w:color w:val="000000"/>
          <w:sz w:val="24"/>
          <w:szCs w:val="24"/>
        </w:rPr>
        <w:t>As Benjamin argues, mutual recognition is the foundation of subject formation: each subject comes to experience herself as real and alive through being recognized by another who is also experienced as real (2004). When recognition fails, relations slip into what she calls “complementarity,” a rigid doer/done-to structure in which one party occupies the active position and the other the passive, compliant position.</w:t>
      </w:r>
    </w:p>
    <w:p w14:paraId="0000002E" w14:textId="77777777" w:rsidR="00610F2C" w:rsidRDefault="00000000">
      <w:pPr>
        <w:spacing w:line="480" w:lineRule="auto"/>
        <w:ind w:firstLine="720"/>
        <w:rPr>
          <w:sz w:val="24"/>
          <w:szCs w:val="24"/>
        </w:rPr>
      </w:pPr>
      <w:r>
        <w:rPr>
          <w:sz w:val="24"/>
          <w:szCs w:val="24"/>
        </w:rPr>
        <w:t>The traditional Korean reproductive landscape was organized around such a complementary asymmetry. Women were expected to recognize the needs of the family, lineage, and nation, but their own subjectivity—what they feared, desired, or could not endure in relation to pregnancy and abortion—received little or no recognition in return. Within this structure, they adapted through compliance: a psychic posture in which the self, aligned with external demands to preserve bonds, even at the cost of internal deadness.</w:t>
      </w:r>
    </w:p>
    <w:p w14:paraId="0000002F" w14:textId="77777777" w:rsidR="00610F2C" w:rsidRDefault="00000000">
      <w:pPr>
        <w:spacing w:line="480" w:lineRule="auto"/>
        <w:ind w:firstLine="720"/>
        <w:rPr>
          <w:sz w:val="24"/>
          <w:szCs w:val="24"/>
        </w:rPr>
      </w:pPr>
      <w:r>
        <w:rPr>
          <w:sz w:val="24"/>
          <w:szCs w:val="24"/>
        </w:rPr>
        <w:t>In the last decade, this complementarity has become increasingly untenable. Younger women, many of whom are highly educated and economically active yet remain exposed to persistent gender inequality, have begun to question the very terms of the reproductive contract. They ask: “</w:t>
      </w:r>
      <w:r>
        <w:rPr>
          <w:i/>
          <w:iCs/>
          <w:sz w:val="24"/>
          <w:szCs w:val="24"/>
        </w:rPr>
        <w:t>Who benefits from my reproductive labor</w:t>
      </w:r>
      <w:r>
        <w:rPr>
          <w:sz w:val="24"/>
          <w:szCs w:val="24"/>
        </w:rPr>
        <w:t>?” and “</w:t>
      </w:r>
      <w:r>
        <w:rPr>
          <w:i/>
          <w:iCs/>
          <w:sz w:val="24"/>
          <w:szCs w:val="24"/>
        </w:rPr>
        <w:t xml:space="preserve">Why is the preservation </w:t>
      </w:r>
      <w:r>
        <w:rPr>
          <w:i/>
          <w:iCs/>
          <w:sz w:val="24"/>
          <w:szCs w:val="24"/>
        </w:rPr>
        <w:lastRenderedPageBreak/>
        <w:t>of the family or the nation contingent on my erasure</w:t>
      </w:r>
      <w:r>
        <w:rPr>
          <w:sz w:val="24"/>
          <w:szCs w:val="24"/>
        </w:rPr>
        <w:t>?” These questions signal the emergence of what Benjamin calls a “</w:t>
      </w:r>
      <w:r>
        <w:rPr>
          <w:i/>
          <w:iCs/>
          <w:sz w:val="24"/>
          <w:szCs w:val="24"/>
        </w:rPr>
        <w:t>third position</w:t>
      </w:r>
      <w:r>
        <w:rPr>
          <w:sz w:val="24"/>
          <w:szCs w:val="24"/>
        </w:rPr>
        <w:t>,” from which the subject can observe and refuse being locked into either the doer or the done-to role. The collapse of the “compliant self” is thus not simply a matter of changing opinions; it is a reorganization of the basic relational matrix within which reproductive decisions are made.</w:t>
      </w:r>
    </w:p>
    <w:p w14:paraId="00000030" w14:textId="77777777" w:rsidR="00610F2C" w:rsidRDefault="00610F2C">
      <w:pPr>
        <w:spacing w:line="480" w:lineRule="auto"/>
        <w:rPr>
          <w:sz w:val="24"/>
          <w:szCs w:val="24"/>
        </w:rPr>
      </w:pPr>
    </w:p>
    <w:p w14:paraId="00000031" w14:textId="77777777" w:rsidR="00610F2C" w:rsidRDefault="00000000">
      <w:pPr>
        <w:pStyle w:val="Heading3"/>
        <w:spacing w:line="480" w:lineRule="auto"/>
        <w:rPr>
          <w:rFonts w:ascii="Times New Roman" w:eastAsia="Times New Roman" w:hAnsi="Times New Roman" w:cs="Times New Roman"/>
          <w:b/>
          <w:bCs/>
        </w:rPr>
      </w:pPr>
      <w:r>
        <w:rPr>
          <w:rFonts w:ascii="Times New Roman" w:eastAsia="Times New Roman" w:hAnsi="Times New Roman" w:cs="Times New Roman"/>
          <w:b/>
          <w:bCs/>
        </w:rPr>
        <w:t>2. The 2019 Decriminalization: A Symbolic Intervention in Melancholic Silence</w:t>
      </w:r>
    </w:p>
    <w:p w14:paraId="00000032" w14:textId="77777777" w:rsidR="00610F2C" w:rsidRDefault="00000000">
      <w:pPr>
        <w:spacing w:line="480" w:lineRule="auto"/>
        <w:rPr>
          <w:sz w:val="24"/>
          <w:szCs w:val="24"/>
        </w:rPr>
      </w:pPr>
      <w:r>
        <w:rPr>
          <w:sz w:val="24"/>
          <w:szCs w:val="24"/>
        </w:rPr>
        <w:t xml:space="preserve">For decades, the criminalization of abortion functioned as a symbolic injunction that kept women’s experiences in the realm of the unspeakable. The law did not merely regulate a medical procedure; it regulated affect. It determined which emotions could be publicly acknowledged and which had to be swallowed in silence. By criminalizing abortion while simultaneously relying on women to undergo it for demographic or patriarchal reasons, the state produced a unique psychic structure: women were responsible for upholding the law’s moral fantasy even as the realities of family life required its violation. The 2019 ruling began to dismantle this split, allowing women to speak from a position other than guilt or secrecy. It opened, for the first time, a space where reproductive experience could be articulated without fear of moral condemnation. </w:t>
      </w:r>
    </w:p>
    <w:p w14:paraId="00000033" w14:textId="77777777" w:rsidR="00610F2C" w:rsidRDefault="00000000">
      <w:pPr>
        <w:spacing w:line="480" w:lineRule="auto"/>
        <w:ind w:firstLine="720"/>
        <w:rPr>
          <w:sz w:val="24"/>
          <w:szCs w:val="24"/>
        </w:rPr>
      </w:pPr>
      <w:r>
        <w:rPr>
          <w:sz w:val="24"/>
          <w:szCs w:val="24"/>
        </w:rPr>
        <w:t xml:space="preserve">The 2019 Constitutional Court ruling that declared the abortion ban unconstitutional was a pivotal moment in this psychic rupture (D. Kim et al., 2019). The criminalization of abortion in Korea had long functioned to silence women’s voices regarding their own bodies, reducing them to mere objects of state regulation. The decriminalization was not just a policy change; it was a "symbolic intervention." It opened a space where previously "unrepresented experiences”—the fear, grief, and ambivalence of pregnancy—could finally enter the public </w:t>
      </w:r>
      <w:r>
        <w:rPr>
          <w:sz w:val="24"/>
          <w:szCs w:val="24"/>
        </w:rPr>
        <w:lastRenderedPageBreak/>
        <w:t>language. It signaled that the state could no longer claim absolute sovereignty over the womb. For the first time, the law recognized the woman as a moral agent capable of deliberation, rather than a potential criminal to be managed.</w:t>
      </w:r>
    </w:p>
    <w:p w14:paraId="00000034" w14:textId="77777777" w:rsidR="00610F2C" w:rsidRDefault="00610F2C">
      <w:pPr>
        <w:spacing w:line="480" w:lineRule="auto"/>
        <w:rPr>
          <w:sz w:val="24"/>
          <w:szCs w:val="24"/>
        </w:rPr>
      </w:pPr>
    </w:p>
    <w:p w14:paraId="00000035" w14:textId="77777777" w:rsidR="00610F2C" w:rsidRDefault="00610F2C">
      <w:pPr>
        <w:spacing w:line="480" w:lineRule="auto"/>
        <w:rPr>
          <w:sz w:val="24"/>
          <w:szCs w:val="24"/>
        </w:rPr>
      </w:pPr>
    </w:p>
    <w:p w14:paraId="00000036" w14:textId="77777777" w:rsidR="00610F2C" w:rsidRDefault="00610F2C">
      <w:pPr>
        <w:spacing w:line="480" w:lineRule="auto"/>
        <w:rPr>
          <w:sz w:val="24"/>
          <w:szCs w:val="24"/>
        </w:rPr>
      </w:pPr>
    </w:p>
    <w:p w14:paraId="00000037" w14:textId="77777777" w:rsidR="00610F2C" w:rsidRDefault="00000000">
      <w:pPr>
        <w:pStyle w:val="Heading3"/>
        <w:spacing w:line="480" w:lineRule="auto"/>
        <w:rPr>
          <w:rFonts w:ascii="Times New Roman" w:eastAsia="Times New Roman" w:hAnsi="Times New Roman" w:cs="Times New Roman"/>
          <w:b/>
          <w:bCs/>
        </w:rPr>
      </w:pPr>
      <w:r>
        <w:rPr>
          <w:rFonts w:ascii="Times New Roman" w:eastAsia="Times New Roman" w:hAnsi="Times New Roman" w:cs="Times New Roman"/>
          <w:b/>
          <w:bCs/>
        </w:rPr>
        <w:t>3. The Linguistic Turn: Reassigning Responsibility from Women’s Bodies to the Social Order</w:t>
      </w:r>
    </w:p>
    <w:p w14:paraId="00000038" w14:textId="77777777" w:rsidR="00610F2C" w:rsidRDefault="00000000">
      <w:pPr>
        <w:spacing w:line="480" w:lineRule="auto"/>
        <w:rPr>
          <w:sz w:val="24"/>
          <w:szCs w:val="24"/>
        </w:rPr>
      </w:pPr>
      <w:sdt>
        <w:sdtPr>
          <w:tag w:val="goog_rdk_0"/>
          <w:id w:val="-1846934428"/>
        </w:sdtPr>
        <w:sdtContent>
          <w:r>
            <w:rPr>
              <w:rFonts w:ascii="Gungsuh" w:eastAsia="Gungsuh" w:hAnsi="Gungsuh" w:cs="Gungsuh"/>
              <w:sz w:val="24"/>
              <w:szCs w:val="24"/>
            </w:rPr>
            <w:t xml:space="preserve">A further dimension of this psychic rupture can be seen in what might look, at first glance, like a merely technical dispute over demographic terminology. For decades, the state and mainstream media framed the issue as jeochulsan (commonly translated as “low fertility,” 低出産). The key character here is </w:t>
          </w:r>
        </w:sdtContent>
      </w:sdt>
      <w:r>
        <w:rPr>
          <w:i/>
          <w:iCs/>
          <w:sz w:val="24"/>
          <w:szCs w:val="24"/>
        </w:rPr>
        <w:t>san</w:t>
      </w:r>
      <w:sdt>
        <w:sdtPr>
          <w:tag w:val="goog_rdk_1"/>
          <w:id w:val="-216277704"/>
        </w:sdtPr>
        <w:sdtContent>
          <w:r>
            <w:rPr>
              <w:rFonts w:ascii="Gungsuh" w:eastAsia="Gungsuh" w:hAnsi="Gungsuh" w:cs="Gungsuh"/>
              <w:sz w:val="24"/>
              <w:szCs w:val="24"/>
            </w:rPr>
            <w:t xml:space="preserve"> (産), which refers specifically to the act of giving birth. Built into this terminology is an implicit assumption that the demographic problem originates in the domain of women’s biological performance. If births are few, it is because women are failing—or refusing—to give birth. The crisis, in other words, is silently attached to the womb (Bae, 2021). In recent years, feminist scholars and policy analysts have pushed for a shift toward jeochulsaeng (“low birth numbers,” 低出生). The character saeng (生) denotes birth not as an isolated bodily act, </w:t>
          </w:r>
          <w:r>
            <w:rPr>
              <w:rFonts w:ascii="Gungsuh" w:eastAsia="Gungsuh" w:hAnsi="Gungsuh" w:cs="Gungsuh"/>
              <w:sz w:val="24"/>
              <w:szCs w:val="24"/>
            </w:rPr>
            <w:lastRenderedPageBreak/>
            <w:t xml:space="preserve">but as a social event, one that unfolds within a wider field of conditions: labour markets, housing, care infrastructures, education systems, and gendered expectations around family and work. </w:t>
          </w:r>
        </w:sdtContent>
      </w:sdt>
    </w:p>
    <w:p w14:paraId="00000039" w14:textId="77777777" w:rsidR="00610F2C" w:rsidRDefault="00000000">
      <w:pPr>
        <w:spacing w:line="480" w:lineRule="auto"/>
        <w:ind w:firstLine="720"/>
        <w:rPr>
          <w:sz w:val="24"/>
          <w:szCs w:val="24"/>
        </w:rPr>
      </w:pPr>
      <w:r>
        <w:rPr>
          <w:sz w:val="24"/>
          <w:szCs w:val="24"/>
        </w:rPr>
        <w:t xml:space="preserve">From a psychoanalytic perspective, this linguistic turn can be read as a partial redistribution of guilt and superego pressure. The “failure” is no longer located solely in the individual woman who does not give birth, but also in the social world that has made childbearing feel intolerable or impossible. Yet naming the problem differently does not in itself transform the lived conditions of work, care, and intimacy. It is within this gap—between legal and linguistic recognition on the one hand, and the stubborn reality of everyday life on the other—that the contemporary silence of Korean women takes shape, not as passive resignation but as an active refusal. </w:t>
      </w:r>
    </w:p>
    <w:p w14:paraId="0000003A" w14:textId="77777777" w:rsidR="00610F2C" w:rsidRDefault="00610F2C">
      <w:pPr>
        <w:spacing w:line="480" w:lineRule="auto"/>
        <w:rPr>
          <w:sz w:val="24"/>
          <w:szCs w:val="24"/>
        </w:rPr>
      </w:pPr>
    </w:p>
    <w:p w14:paraId="0000003B" w14:textId="77777777" w:rsidR="00610F2C" w:rsidRDefault="00000000">
      <w:pPr>
        <w:pStyle w:val="Heading3"/>
        <w:spacing w:line="480" w:lineRule="auto"/>
        <w:rPr>
          <w:rFonts w:ascii="Times New Roman" w:eastAsia="Times New Roman" w:hAnsi="Times New Roman" w:cs="Times New Roman"/>
          <w:b/>
          <w:bCs/>
        </w:rPr>
      </w:pPr>
      <w:r>
        <w:rPr>
          <w:rFonts w:ascii="Times New Roman" w:eastAsia="Times New Roman" w:hAnsi="Times New Roman" w:cs="Times New Roman"/>
          <w:b/>
          <w:bCs/>
        </w:rPr>
        <w:t>4. Splitting and the Fragile Search for Repair</w:t>
      </w:r>
    </w:p>
    <w:p w14:paraId="0000003C" w14:textId="77777777" w:rsidR="00610F2C" w:rsidRDefault="00000000">
      <w:pPr>
        <w:spacing w:line="480" w:lineRule="auto"/>
        <w:rPr>
          <w:sz w:val="24"/>
          <w:szCs w:val="24"/>
        </w:rPr>
        <w:sectPr w:rsidR="00610F2C">
          <w:pgSz w:w="11906" w:h="16838"/>
          <w:pgMar w:top="1701" w:right="1440" w:bottom="1440" w:left="1440" w:header="851" w:footer="992" w:gutter="0"/>
          <w:cols w:space="720"/>
        </w:sectPr>
      </w:pPr>
      <w:r>
        <w:rPr>
          <w:sz w:val="24"/>
          <w:szCs w:val="24"/>
        </w:rPr>
        <w:t>This refusal does not arise in a neutral social atmosphere. Since the 2010s, the gap between new forms of recognition and the old relational order has been filled, not by calm negotiation, but by an eruption of what commentators and scholars have described as a “gender war” in South Korea: escalating conflicts between young men and women over feminism, military service, jobs, and the meanings of family and marriage (J. Kim, 2023). Online spaces have become key theatres for these struggles, where misogynistic and anti-feminist discourses meet equally fierce feminist counter-speech (e.g., Megalia, Womad, and subsequent digital feminist movements) (Y. Kim, 2021). From a Kleinian perspective, this intensification of gender and generational hostility can be read as a large-scale regression to the paranoid–</w:t>
      </w:r>
      <w:r>
        <w:rPr>
          <w:sz w:val="24"/>
          <w:szCs w:val="24"/>
        </w:rPr>
        <w:lastRenderedPageBreak/>
        <w:t>schizoid position: faced with unbearable ambivalence about dependence, care, and reproduction, the culture defends itself by splitting the field into all-good and all-bad figures. What could previously be borne only in melancholic silence is now expelled into the social field as mutual accusation, crystallizing—what Jessica Benjamin would call the collapse of the shared Third—into complementary doer/done-to positions in which each side experiences itself as the injured party and the other as the persecutor (Benjamin 2004; Jung, 2024). This proliferation of splitting is not simply pathological excess. It is also a sign that the prohibition on speaking about reproduction, gender, and power has been broken; affects that were once sealed within the private crypt of the family have entered public language</w:t>
      </w:r>
    </w:p>
    <w:p w14:paraId="0000003D"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Part IV. Silence as Reproductive Autonomy</w:t>
      </w:r>
    </w:p>
    <w:p w14:paraId="0000003E" w14:textId="77777777" w:rsidR="00610F2C" w:rsidRDefault="00000000">
      <w:pPr>
        <w:spacing w:line="480" w:lineRule="auto"/>
        <w:rPr>
          <w:sz w:val="24"/>
          <w:szCs w:val="24"/>
        </w:rPr>
      </w:pPr>
      <w:r>
        <w:rPr>
          <w:sz w:val="24"/>
          <w:szCs w:val="24"/>
        </w:rPr>
        <w:t>If earlier generations of Korean women were compelled to carry abortion as a secret saturated with guilt, younger women inhabit a different, though still fraught, landscape. The social and legal changes traced above—decriminalization, shifts in demographic discourse, and public debates about gender—have not simply “liberated” reproductive choice. Rather, they have created a transitional space in which women’s silence around abortion and reproduction can no longer be read in only one way. What once functioned primarily as melancholic compliance can now, in certain contexts, operate as a deliberate form of autonomy: a way of deciding when, how, and to whom one’s reproductive life will be disclosed, and under what conditions one will agree to enter the reproductive field at all.</w:t>
      </w:r>
    </w:p>
    <w:p w14:paraId="0000003F" w14:textId="77777777" w:rsidR="00610F2C" w:rsidRDefault="00000000">
      <w:pPr>
        <w:spacing w:line="480" w:lineRule="auto"/>
        <w:ind w:firstLine="720"/>
        <w:rPr>
          <w:sz w:val="24"/>
          <w:szCs w:val="24"/>
        </w:rPr>
      </w:pPr>
      <w:r>
        <w:rPr>
          <w:sz w:val="24"/>
          <w:szCs w:val="24"/>
        </w:rPr>
        <w:t>In this sense, some contemporary forms of “not-doing” are better understood as protective acts of authorship than as mere avoidance. Faced with a history in which pregnancy almost automatically exposed women to structurally coerced decisions about abortion—whether to terminate for the sake of the family’s finances, the husband’s lineage, or the state’s demographic goals—many women now seek to avoid being placed again in that position. They choose contraception with great vigilance; they postpone or forgo pregnancy; they remain wary of relationships in which reproductive decisions are likely to be colonized by others’ expectations. These gestures do not signify indifference to children or to relational life. Rather, they express a determination that, if abortion or childbirth are to be considered at all, they must belong to the woman’s own deliberation and not be dictated by the old, internalized command to comply.</w:t>
      </w:r>
    </w:p>
    <w:p w14:paraId="00000040" w14:textId="77777777" w:rsidR="00610F2C" w:rsidRDefault="00000000">
      <w:pPr>
        <w:spacing w:line="480" w:lineRule="auto"/>
        <w:ind w:firstLine="720"/>
        <w:rPr>
          <w:sz w:val="24"/>
          <w:szCs w:val="24"/>
        </w:rPr>
      </w:pPr>
      <w:r>
        <w:rPr>
          <w:sz w:val="24"/>
          <w:szCs w:val="24"/>
        </w:rPr>
        <w:t xml:space="preserve">From a psychoanalytic perspective, this stance can be seen as a form of negative action that borders on negative capability: the capacity to bear uncertainty and social pressure </w:t>
      </w:r>
      <w:r>
        <w:rPr>
          <w:sz w:val="24"/>
          <w:szCs w:val="24"/>
        </w:rPr>
        <w:lastRenderedPageBreak/>
        <w:t>without fleeing back into the familiar, sacrificial script (Bion, 2018). Women are, in effect, suspending their participation in a reproductive order they experience as ethically unsafe. Their silence—refusing to narrate their abortions to those who would only moralize, refusing to “repair” demographic decline with their bodies, refusing to present pregnancy as self-evident destiny—is not empty. It is a way of keeping open the possibility that reproduction might one day be lived as an expression of subjectivity rather than as an answer to the unspoken demands of family or state. Until such conditions exist, the most ethical decision, for some, is precisely not to re-enter the scene where reproductive trauma has so long been staged.</w:t>
      </w:r>
    </w:p>
    <w:p w14:paraId="00000041" w14:textId="77777777" w:rsidR="00610F2C" w:rsidRDefault="00000000">
      <w:pPr>
        <w:spacing w:line="480" w:lineRule="auto"/>
        <w:ind w:firstLine="720"/>
        <w:rPr>
          <w:sz w:val="24"/>
          <w:szCs w:val="24"/>
        </w:rPr>
      </w:pPr>
      <w:r>
        <w:rPr>
          <w:sz w:val="24"/>
          <w:szCs w:val="24"/>
        </w:rPr>
        <w:t>For clinicians, this has important implications. The analyst encountering a seemingly “voluntary” childlessness, a flat refusal of pregnancy, or a blank space in the patient’s narrative around past abortions must resist the temptation to fill these silences with cultural clichés—about selfishness, fear of adulthood, or demographic crisis. The task is instead to listen to silence as a complex sign: at once the echo of inherited Han and a nascent boundary against its repetition. To recognize the patient as the author, not the object, of her reproductive story is itself a small but crucial contribution to the ongoing work of transforming a history of coerced abortion into a future in which reproductive autonomy can be genuinely symbolized, chosen, and, where necessary, grieved.</w:t>
      </w:r>
    </w:p>
    <w:p w14:paraId="00000042" w14:textId="77777777" w:rsidR="00610F2C" w:rsidRDefault="00610F2C">
      <w:pPr>
        <w:spacing w:line="480" w:lineRule="auto"/>
        <w:rPr>
          <w:sz w:val="24"/>
          <w:szCs w:val="24"/>
        </w:rPr>
      </w:pPr>
    </w:p>
    <w:p w14:paraId="00000043" w14:textId="77777777" w:rsidR="00610F2C" w:rsidRDefault="00000000">
      <w:pPr>
        <w:pStyle w:val="Heading2"/>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 When Silence Speaks</w:t>
      </w:r>
    </w:p>
    <w:p w14:paraId="00000044" w14:textId="77777777" w:rsidR="00610F2C" w:rsidRDefault="00000000">
      <w:pPr>
        <w:spacing w:line="480" w:lineRule="auto"/>
        <w:rPr>
          <w:sz w:val="24"/>
          <w:szCs w:val="24"/>
        </w:rPr>
      </w:pPr>
      <w:r>
        <w:rPr>
          <w:sz w:val="24"/>
          <w:szCs w:val="24"/>
        </w:rPr>
        <w:t xml:space="preserve">The history of abortion in South Korea reveals not a linear story of expanding rights, but a paradoxical regime in which abortion was formally criminalized while being tacitly relied upon for family planning, sex selection, and state-led population control. Within this order, </w:t>
      </w:r>
      <w:r>
        <w:rPr>
          <w:sz w:val="24"/>
          <w:szCs w:val="24"/>
        </w:rPr>
        <w:lastRenderedPageBreak/>
        <w:t>women’s bodies functioned as the hinge between demographic policy and patriarchal lineage: they were expected to absorb, often in silence, the contradictions between national goals, familial demands, and their own psychic survival. Although recent legal and discursive shifts—most notably the 2019 Constitutional Court decision and the reframing of “low fertility” (jeochulsan) as “low birth numbers” (jeochulsaeng)—begin to redistribute responsibility away from the supposedly failing womb toward the social order, uneven access to safe abortion, persistent gendered inequalities in care and work, and the lingering effects of Han and melancholic, cryptic mourning all testify that law alone has not dissolved the figure of the Sinner-Mother. In this transitional space, the contemporary silence and “not-doing” of many Korean women—hesitation, refusal, or withdrawal from marriage, pregnancy, and reproduction—can be read not as apathy but as an attempt to reclaim abortion and childbirth from their long history as social tools and to insist that they become matters of genuine subjectivity. The future of reproductive rights in Korea will depend on whether law, culture, and clinical practice can hear this silence not simply as a demographic problem, but as a demand that no woman’s body again be the hidden site where the conflicts of family and state are resolved without her consent.</w:t>
      </w:r>
    </w:p>
    <w:p w14:paraId="00000045" w14:textId="77777777" w:rsidR="00610F2C" w:rsidRDefault="00610F2C">
      <w:pPr>
        <w:spacing w:line="480" w:lineRule="auto"/>
        <w:rPr>
          <w:sz w:val="24"/>
          <w:szCs w:val="24"/>
        </w:rPr>
      </w:pPr>
    </w:p>
    <w:p w14:paraId="00000046" w14:textId="77777777" w:rsidR="00610F2C" w:rsidRDefault="00000000">
      <w:pPr>
        <w:rPr>
          <w:b/>
          <w:bCs/>
          <w:color w:val="000000"/>
          <w:sz w:val="24"/>
          <w:szCs w:val="24"/>
        </w:rPr>
      </w:pPr>
      <w:r>
        <w:br w:type="page"/>
      </w:r>
    </w:p>
    <w:p w14:paraId="00000047" w14:textId="77777777" w:rsidR="00610F2C" w:rsidRDefault="00000000">
      <w:pPr>
        <w:pStyle w:val="Heading2"/>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00000048"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w:t>
      </w:r>
      <w:r>
        <w:rPr>
          <w:color w:val="000000"/>
          <w:sz w:val="24"/>
          <w:szCs w:val="24"/>
        </w:rPr>
        <w:tab/>
        <w:t xml:space="preserve">Abraham, N., &amp; Torok, M. (1994). </w:t>
      </w:r>
      <w:r>
        <w:rPr>
          <w:i/>
          <w:iCs/>
          <w:color w:val="000000"/>
          <w:sz w:val="24"/>
          <w:szCs w:val="24"/>
        </w:rPr>
        <w:t>The shell and the kernel: Renewals of psychoanalysis</w:t>
      </w:r>
      <w:r>
        <w:rPr>
          <w:color w:val="000000"/>
          <w:sz w:val="24"/>
          <w:szCs w:val="24"/>
        </w:rPr>
        <w:t xml:space="preserve"> (N. T. Rand, Ed. &amp; Trans.). University of Chicago Press. </w:t>
      </w:r>
    </w:p>
    <w:p w14:paraId="00000049"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2.</w:t>
      </w:r>
      <w:r>
        <w:rPr>
          <w:color w:val="000000"/>
          <w:sz w:val="24"/>
          <w:szCs w:val="24"/>
        </w:rPr>
        <w:tab/>
        <w:t xml:space="preserve">Ahn, H. S., et al. (2012). Estimates of induced abortion in South Korea: Health facilities survey. </w:t>
      </w:r>
      <w:r>
        <w:rPr>
          <w:i/>
          <w:iCs/>
          <w:color w:val="000000"/>
          <w:sz w:val="24"/>
          <w:szCs w:val="24"/>
        </w:rPr>
        <w:t xml:space="preserve">Journal of Obstetrics and Gynaecology Research, </w:t>
      </w:r>
      <w:r>
        <w:rPr>
          <w:color w:val="000000"/>
          <w:sz w:val="24"/>
          <w:szCs w:val="24"/>
        </w:rPr>
        <w:t xml:space="preserve">38(1), 324–328. </w:t>
      </w:r>
    </w:p>
    <w:p w14:paraId="0000004A"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3.</w:t>
      </w:r>
      <w:r>
        <w:rPr>
          <w:color w:val="000000"/>
          <w:sz w:val="24"/>
          <w:szCs w:val="24"/>
        </w:rPr>
        <w:tab/>
        <w:t xml:space="preserve">Bae, E. (2021). Seeking a paradigm shift in population policy by raising issues through the new terminology of 'few births': A historical review of the aging society and population policy in Korea and the women's agency related to their reproductive bodies. </w:t>
      </w:r>
      <w:r>
        <w:rPr>
          <w:i/>
          <w:iCs/>
          <w:color w:val="000000"/>
          <w:sz w:val="24"/>
          <w:szCs w:val="24"/>
        </w:rPr>
        <w:t xml:space="preserve">Issues in Feminism, </w:t>
      </w:r>
      <w:r>
        <w:rPr>
          <w:color w:val="000000"/>
          <w:sz w:val="24"/>
          <w:szCs w:val="24"/>
        </w:rPr>
        <w:t>21(2), 137–186.</w:t>
      </w:r>
    </w:p>
    <w:p w14:paraId="0000004B"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4.</w:t>
      </w:r>
      <w:r>
        <w:rPr>
          <w:color w:val="000000"/>
          <w:sz w:val="24"/>
          <w:szCs w:val="24"/>
        </w:rPr>
        <w:tab/>
        <w:t xml:space="preserve">Benjamin, J. (2004). Beyond doer and done to: An intersubjective view of thirdness. </w:t>
      </w:r>
      <w:r>
        <w:rPr>
          <w:i/>
          <w:iCs/>
          <w:color w:val="000000"/>
          <w:sz w:val="24"/>
          <w:szCs w:val="24"/>
        </w:rPr>
        <w:t>Psychoanalytic Quarterly, 73</w:t>
      </w:r>
      <w:r>
        <w:rPr>
          <w:color w:val="000000"/>
          <w:sz w:val="24"/>
          <w:szCs w:val="24"/>
        </w:rPr>
        <w:t>, 5–46.</w:t>
      </w:r>
    </w:p>
    <w:p w14:paraId="0000004C"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5.</w:t>
      </w:r>
      <w:r>
        <w:rPr>
          <w:color w:val="000000"/>
          <w:sz w:val="24"/>
          <w:szCs w:val="24"/>
        </w:rPr>
        <w:tab/>
        <w:t xml:space="preserve">Bion, W. R. (2018). </w:t>
      </w:r>
      <w:r>
        <w:rPr>
          <w:i/>
          <w:iCs/>
          <w:color w:val="000000"/>
          <w:sz w:val="24"/>
          <w:szCs w:val="24"/>
        </w:rPr>
        <w:t>Attention and interpretation</w:t>
      </w:r>
      <w:r>
        <w:rPr>
          <w:color w:val="000000"/>
          <w:sz w:val="24"/>
          <w:szCs w:val="24"/>
        </w:rPr>
        <w:t xml:space="preserve"> (1st ed.). Routledge. </w:t>
      </w:r>
    </w:p>
    <w:p w14:paraId="0000004D"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6.</w:t>
      </w:r>
      <w:r>
        <w:rPr>
          <w:color w:val="000000"/>
          <w:sz w:val="24"/>
          <w:szCs w:val="24"/>
        </w:rPr>
        <w:tab/>
        <w:t xml:space="preserve">Freud, S. (1917). Mourning and melancholia. In J. Strachey (Ed.), </w:t>
      </w:r>
      <w:r>
        <w:rPr>
          <w:i/>
          <w:iCs/>
          <w:color w:val="000000"/>
          <w:sz w:val="24"/>
          <w:szCs w:val="24"/>
        </w:rPr>
        <w:t>The standard edition of the complete psychological works of Sigmund Freud</w:t>
      </w:r>
      <w:r>
        <w:rPr>
          <w:color w:val="000000"/>
          <w:sz w:val="24"/>
          <w:szCs w:val="24"/>
        </w:rPr>
        <w:t xml:space="preserve"> (Vol. 14, pp. 237–258).</w:t>
      </w:r>
    </w:p>
    <w:p w14:paraId="0000004E"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7.</w:t>
      </w:r>
      <w:r>
        <w:rPr>
          <w:color w:val="000000"/>
          <w:sz w:val="24"/>
          <w:szCs w:val="24"/>
        </w:rPr>
        <w:tab/>
        <w:t xml:space="preserve">Green, A. (1972). The dead mother. In </w:t>
      </w:r>
      <w:r>
        <w:rPr>
          <w:i/>
          <w:iCs/>
          <w:color w:val="000000"/>
          <w:sz w:val="24"/>
          <w:szCs w:val="24"/>
        </w:rPr>
        <w:t>On private madness</w:t>
      </w:r>
      <w:r>
        <w:rPr>
          <w:color w:val="000000"/>
          <w:sz w:val="24"/>
          <w:szCs w:val="24"/>
        </w:rPr>
        <w:t xml:space="preserve"> (pp. 142–173). Routledge.</w:t>
      </w:r>
    </w:p>
    <w:p w14:paraId="0000004F"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8.</w:t>
      </w:r>
      <w:r>
        <w:rPr>
          <w:color w:val="000000"/>
          <w:sz w:val="24"/>
          <w:szCs w:val="24"/>
        </w:rPr>
        <w:tab/>
        <w:t xml:space="preserve">Jeon, H. S., &amp; Seo, H. G. (2003). Abortion in Korea since 1945. </w:t>
      </w:r>
      <w:r>
        <w:rPr>
          <w:i/>
          <w:iCs/>
          <w:color w:val="000000"/>
          <w:sz w:val="24"/>
          <w:szCs w:val="24"/>
        </w:rPr>
        <w:t>Korean Journal of Medical History, 12</w:t>
      </w:r>
      <w:r>
        <w:rPr>
          <w:color w:val="000000"/>
          <w:sz w:val="24"/>
          <w:szCs w:val="24"/>
        </w:rPr>
        <w:t>(2), 129–143.</w:t>
      </w:r>
    </w:p>
    <w:p w14:paraId="00000050"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9.</w:t>
      </w:r>
      <w:r>
        <w:rPr>
          <w:color w:val="000000"/>
          <w:sz w:val="24"/>
          <w:szCs w:val="24"/>
        </w:rPr>
        <w:tab/>
        <w:t xml:space="preserve">Jung, K. (2024). "Gender wars" and populist politics in South Korea. </w:t>
      </w:r>
      <w:r>
        <w:rPr>
          <w:i/>
          <w:iCs/>
          <w:color w:val="000000"/>
          <w:sz w:val="24"/>
          <w:szCs w:val="24"/>
        </w:rPr>
        <w:t>Women's Studies International Forum, 104</w:t>
      </w:r>
      <w:r>
        <w:rPr>
          <w:color w:val="000000"/>
          <w:sz w:val="24"/>
          <w:szCs w:val="24"/>
        </w:rPr>
        <w:t>, Article 102915.</w:t>
      </w:r>
    </w:p>
    <w:p w14:paraId="00000051"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10.</w:t>
      </w:r>
      <w:r>
        <w:rPr>
          <w:color w:val="000000"/>
          <w:sz w:val="24"/>
          <w:szCs w:val="24"/>
        </w:rPr>
        <w:tab/>
        <w:t xml:space="preserve">Kim, D., et al. (2019). </w:t>
      </w:r>
      <w:r>
        <w:rPr>
          <w:i/>
          <w:iCs/>
          <w:color w:val="000000"/>
          <w:sz w:val="24"/>
          <w:szCs w:val="24"/>
        </w:rPr>
        <w:t>Policy directions for ensuring women's reproductive health and rights after the Constitutional Court's decision of unconstitutionality of the abortion ban</w:t>
      </w:r>
      <w:r>
        <w:rPr>
          <w:color w:val="000000"/>
          <w:sz w:val="24"/>
          <w:szCs w:val="24"/>
        </w:rPr>
        <w:t>. Korea Women's Development Institute.</w:t>
      </w:r>
    </w:p>
    <w:p w14:paraId="00000052"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11.</w:t>
      </w:r>
      <w:r>
        <w:rPr>
          <w:color w:val="000000"/>
          <w:sz w:val="24"/>
          <w:szCs w:val="24"/>
        </w:rPr>
        <w:tab/>
        <w:t>Kim, J. (2023). The gender war and the rise of anti-family sentiments in South Korea (pp. 183–201).</w:t>
      </w:r>
    </w:p>
    <w:p w14:paraId="00000053"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12.</w:t>
      </w:r>
      <w:r>
        <w:rPr>
          <w:color w:val="000000"/>
          <w:sz w:val="24"/>
          <w:szCs w:val="24"/>
        </w:rPr>
        <w:tab/>
        <w:t xml:space="preserve">Kim, Y. (2021). Mirroring misogyny in Hell Choson: Megalia, Womad, and Korea's feminism in the age of digital populism. </w:t>
      </w:r>
      <w:r>
        <w:rPr>
          <w:i/>
          <w:iCs/>
          <w:color w:val="000000"/>
          <w:sz w:val="24"/>
          <w:szCs w:val="24"/>
        </w:rPr>
        <w:t>European Journal of Korean Studies</w:t>
      </w:r>
      <w:r>
        <w:rPr>
          <w:color w:val="000000"/>
          <w:sz w:val="24"/>
          <w:szCs w:val="24"/>
        </w:rPr>
        <w:t>, 101–133.</w:t>
      </w:r>
    </w:p>
    <w:p w14:paraId="00000054" w14:textId="77777777" w:rsidR="00610F2C" w:rsidRDefault="00000000">
      <w:pPr>
        <w:pBdr>
          <w:top w:val="nil"/>
          <w:left w:val="nil"/>
          <w:bottom w:val="nil"/>
          <w:right w:val="nil"/>
          <w:between w:val="nil"/>
        </w:pBdr>
        <w:rPr>
          <w:color w:val="000000"/>
          <w:sz w:val="24"/>
          <w:szCs w:val="24"/>
        </w:rPr>
      </w:pPr>
      <w:r>
        <w:rPr>
          <w:color w:val="000000"/>
          <w:sz w:val="24"/>
          <w:szCs w:val="24"/>
        </w:rPr>
        <w:t xml:space="preserve"> </w:t>
      </w:r>
    </w:p>
    <w:p w14:paraId="00000055"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13.</w:t>
      </w:r>
      <w:r>
        <w:rPr>
          <w:color w:val="000000"/>
          <w:sz w:val="24"/>
          <w:szCs w:val="24"/>
        </w:rPr>
        <w:tab/>
        <w:t xml:space="preserve">Kristeva, J., &amp; Roudiez, L. S. (2024). Life and death of speech. In </w:t>
      </w:r>
      <w:r>
        <w:rPr>
          <w:i/>
          <w:iCs/>
          <w:color w:val="000000"/>
          <w:sz w:val="24"/>
          <w:szCs w:val="24"/>
        </w:rPr>
        <w:t>Black sun: Depression and melancholia</w:t>
      </w:r>
      <w:r>
        <w:rPr>
          <w:color w:val="000000"/>
          <w:sz w:val="24"/>
          <w:szCs w:val="24"/>
        </w:rPr>
        <w:t>. Columbia University Press.</w:t>
      </w:r>
    </w:p>
    <w:p w14:paraId="00000056"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14.</w:t>
      </w:r>
      <w:r>
        <w:rPr>
          <w:color w:val="000000"/>
          <w:sz w:val="24"/>
          <w:szCs w:val="24"/>
        </w:rPr>
        <w:tab/>
        <w:t xml:space="preserve">Lim, J. (2022). Gender-role values and attitudes toward marriage and children. </w:t>
      </w:r>
      <w:r>
        <w:rPr>
          <w:i/>
          <w:iCs/>
          <w:color w:val="000000"/>
          <w:sz w:val="24"/>
          <w:szCs w:val="24"/>
        </w:rPr>
        <w:t xml:space="preserve">Health and Welfare Policy Forum, </w:t>
      </w:r>
      <w:r>
        <w:rPr>
          <w:color w:val="000000"/>
          <w:sz w:val="24"/>
          <w:szCs w:val="24"/>
        </w:rPr>
        <w:t>308(6), 105–118.</w:t>
      </w:r>
    </w:p>
    <w:p w14:paraId="00000057"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15.</w:t>
      </w:r>
      <w:r>
        <w:rPr>
          <w:color w:val="000000"/>
          <w:sz w:val="24"/>
          <w:szCs w:val="24"/>
        </w:rPr>
        <w:tab/>
        <w:t xml:space="preserve">Organisation for Economic Co-operation and Development. (2024). </w:t>
      </w:r>
      <w:r>
        <w:rPr>
          <w:i/>
          <w:iCs/>
          <w:color w:val="000000"/>
          <w:sz w:val="24"/>
          <w:szCs w:val="24"/>
        </w:rPr>
        <w:t>Fertility rates</w:t>
      </w:r>
      <w:r>
        <w:rPr>
          <w:color w:val="000000"/>
          <w:sz w:val="24"/>
          <w:szCs w:val="24"/>
        </w:rPr>
        <w:t xml:space="preserve">. OECD Data. Retrieved January 12, 2026, from </w:t>
      </w:r>
      <w:hyperlink r:id="rId8">
        <w:r>
          <w:rPr>
            <w:color w:val="0000FF"/>
            <w:sz w:val="24"/>
            <w:szCs w:val="24"/>
            <w:u w:val="single"/>
          </w:rPr>
          <w:t>https://data.oecd.org/pop/fertility-rates.htm</w:t>
        </w:r>
      </w:hyperlink>
    </w:p>
    <w:p w14:paraId="00000058"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16.</w:t>
      </w:r>
      <w:r>
        <w:rPr>
          <w:color w:val="000000"/>
          <w:sz w:val="24"/>
          <w:szCs w:val="24"/>
        </w:rPr>
        <w:tab/>
        <w:t xml:space="preserve">Park, I. H., &amp; Cho, L.-J. (1995). Confucianism and the Korean family. </w:t>
      </w:r>
      <w:r>
        <w:rPr>
          <w:i/>
          <w:iCs/>
          <w:color w:val="000000"/>
          <w:sz w:val="24"/>
          <w:szCs w:val="24"/>
        </w:rPr>
        <w:t>Journal of Comparative Family Studies, 26</w:t>
      </w:r>
      <w:r>
        <w:rPr>
          <w:color w:val="000000"/>
          <w:sz w:val="24"/>
          <w:szCs w:val="24"/>
        </w:rPr>
        <w:t>(1), 117–134.</w:t>
      </w:r>
    </w:p>
    <w:p w14:paraId="00000059"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17.</w:t>
      </w:r>
      <w:r>
        <w:rPr>
          <w:color w:val="000000"/>
          <w:sz w:val="24"/>
          <w:szCs w:val="24"/>
        </w:rPr>
        <w:tab/>
        <w:t xml:space="preserve">Sung, W. K. (2012). Abortion in South Korea: The law and the reality. </w:t>
      </w:r>
      <w:r>
        <w:rPr>
          <w:i/>
          <w:iCs/>
          <w:color w:val="000000"/>
          <w:sz w:val="24"/>
          <w:szCs w:val="24"/>
        </w:rPr>
        <w:t>International Journal of Law, Policy and the Family, 26</w:t>
      </w:r>
      <w:r>
        <w:rPr>
          <w:color w:val="000000"/>
          <w:sz w:val="24"/>
          <w:szCs w:val="24"/>
        </w:rPr>
        <w:t>(3), 278–305.</w:t>
      </w:r>
    </w:p>
    <w:p w14:paraId="0000005A" w14:textId="77777777" w:rsidR="00610F2C" w:rsidRDefault="00000000">
      <w:pPr>
        <w:pBdr>
          <w:top w:val="nil"/>
          <w:left w:val="nil"/>
          <w:bottom w:val="nil"/>
          <w:right w:val="nil"/>
          <w:between w:val="nil"/>
        </w:pBdr>
        <w:spacing w:after="0"/>
        <w:ind w:left="720" w:hanging="720"/>
        <w:rPr>
          <w:color w:val="000000"/>
          <w:sz w:val="24"/>
          <w:szCs w:val="24"/>
        </w:rPr>
      </w:pPr>
      <w:r>
        <w:rPr>
          <w:color w:val="000000"/>
          <w:sz w:val="24"/>
          <w:szCs w:val="24"/>
        </w:rPr>
        <w:t xml:space="preserve">18.      The Grand Narrative. (2013, February 15). </w:t>
      </w:r>
      <w:r>
        <w:rPr>
          <w:i/>
          <w:iCs/>
          <w:color w:val="000000"/>
          <w:sz w:val="24"/>
          <w:szCs w:val="24"/>
        </w:rPr>
        <w:t>Learning from Korean family planning advertisements of the 1960s–1980s</w:t>
      </w:r>
      <w:r>
        <w:rPr>
          <w:color w:val="000000"/>
          <w:sz w:val="24"/>
          <w:szCs w:val="24"/>
        </w:rPr>
        <w:t xml:space="preserve">. Retrieved December 3, 2025, from </w:t>
      </w:r>
      <w:hyperlink r:id="rId9">
        <w:r>
          <w:rPr>
            <w:color w:val="0000FF"/>
            <w:sz w:val="24"/>
            <w:szCs w:val="24"/>
            <w:u w:val="single"/>
          </w:rPr>
          <w:t>https://thegrandnarrative.com/2013/02/15/korean-family-planning-ads/</w:t>
        </w:r>
      </w:hyperlink>
    </w:p>
    <w:p w14:paraId="0000005B" w14:textId="77777777" w:rsidR="00610F2C" w:rsidRDefault="00000000">
      <w:pPr>
        <w:pBdr>
          <w:top w:val="nil"/>
          <w:left w:val="nil"/>
          <w:bottom w:val="nil"/>
          <w:right w:val="nil"/>
          <w:between w:val="nil"/>
        </w:pBdr>
        <w:ind w:left="720" w:hanging="720"/>
        <w:rPr>
          <w:color w:val="000000"/>
          <w:sz w:val="24"/>
          <w:szCs w:val="24"/>
        </w:rPr>
      </w:pPr>
      <w:r>
        <w:rPr>
          <w:color w:val="000000"/>
          <w:sz w:val="24"/>
          <w:szCs w:val="24"/>
        </w:rPr>
        <w:t>19.</w:t>
      </w:r>
      <w:r>
        <w:rPr>
          <w:color w:val="000000"/>
          <w:sz w:val="24"/>
          <w:szCs w:val="24"/>
        </w:rPr>
        <w:tab/>
        <w:t xml:space="preserve">Yang, Y., Hwang, H., &amp; Pareliussen, J. (2024). </w:t>
      </w:r>
      <w:r>
        <w:rPr>
          <w:i/>
          <w:iCs/>
          <w:color w:val="000000"/>
          <w:sz w:val="24"/>
          <w:szCs w:val="24"/>
        </w:rPr>
        <w:t>Korea's unborn future: Lessons from OECD experience</w:t>
      </w:r>
      <w:r>
        <w:rPr>
          <w:color w:val="000000"/>
          <w:sz w:val="24"/>
          <w:szCs w:val="24"/>
        </w:rPr>
        <w:t xml:space="preserve"> (OECD Economics Department Working Papers). OECD Publishing.</w:t>
      </w:r>
    </w:p>
    <w:sectPr w:rsidR="00610F2C">
      <w:pgSz w:w="11906" w:h="16838"/>
      <w:pgMar w:top="1701" w:right="1440" w:bottom="1440" w:left="144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3D35D" w14:textId="77777777" w:rsidR="003F5D42" w:rsidRDefault="003F5D42">
      <w:pPr>
        <w:spacing w:after="0"/>
      </w:pPr>
      <w:r>
        <w:separator/>
      </w:r>
    </w:p>
  </w:endnote>
  <w:endnote w:type="continuationSeparator" w:id="0">
    <w:p w14:paraId="3C4C727C" w14:textId="77777777" w:rsidR="003F5D42" w:rsidRDefault="003F5D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0B508AB-76AA-B447-B453-3B858C0C1B54}"/>
    <w:embedBold r:id="rId2" w:fontKey="{83C569F9-1CAD-DE43-B1D2-292A4FD609BB}"/>
    <w:embedItalic r:id="rId3" w:fontKey="{5DD7AF1A-043E-FA45-A431-F9256EBD855A}"/>
  </w:font>
  <w:font w:name="Malgun Gothic">
    <w:panose1 w:val="020B0503020000020004"/>
    <w:charset w:val="81"/>
    <w:family w:val="swiss"/>
    <w:pitch w:val="variable"/>
    <w:sig w:usb0="9000002F" w:usb1="29D77CFB" w:usb2="00000012" w:usb3="00000000" w:csb0="00080001" w:csb1="00000000"/>
  </w:font>
  <w:font w:name="Gungsuh">
    <w:panose1 w:val="02030600000101010101"/>
    <w:charset w:val="81"/>
    <w:family w:val="roman"/>
    <w:pitch w:val="variable"/>
    <w:sig w:usb0="B00002AF" w:usb1="69D77CFB" w:usb2="00000030" w:usb3="00000000" w:csb0="0008009F" w:csb1="00000000"/>
    <w:embedRegular r:id="rId4" w:subsetted="1" w:fontKey="{AB4914FE-2D29-9E4F-B786-B996768ED39E}"/>
  </w:font>
  <w:font w:name="Calibri">
    <w:panose1 w:val="020F0502020204030204"/>
    <w:charset w:val="00"/>
    <w:family w:val="swiss"/>
    <w:pitch w:val="variable"/>
    <w:sig w:usb0="E0002AFF" w:usb1="C000247B" w:usb2="00000009" w:usb3="00000000" w:csb0="000001FF" w:csb1="00000000"/>
    <w:embedRegular r:id="rId5" w:fontKey="{6B39EED7-2B33-8C42-99FD-2E26BEB0B36E}"/>
  </w:font>
  <w:font w:name="Cambria">
    <w:panose1 w:val="02040503050406030204"/>
    <w:charset w:val="00"/>
    <w:family w:val="roman"/>
    <w:pitch w:val="variable"/>
    <w:sig w:usb0="E00002FF" w:usb1="400004FF" w:usb2="00000000" w:usb3="00000000" w:csb0="0000019F" w:csb1="00000000"/>
    <w:embedRegular r:id="rId6" w:fontKey="{9583EE28-5946-5747-9A92-A1BCBC78A7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C" w14:textId="6B6E91ED" w:rsidR="00610F2C"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D5C76">
      <w:rPr>
        <w:noProof/>
        <w:color w:val="000000"/>
      </w:rPr>
      <w:t>1</w:t>
    </w:r>
    <w:r>
      <w:rPr>
        <w:color w:val="000000"/>
      </w:rPr>
      <w:fldChar w:fldCharType="end"/>
    </w:r>
  </w:p>
  <w:p w14:paraId="0000005D" w14:textId="77777777" w:rsidR="00610F2C" w:rsidRDefault="00610F2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C4DB07" w14:textId="77777777" w:rsidR="003F5D42" w:rsidRDefault="003F5D42">
      <w:pPr>
        <w:spacing w:after="0"/>
      </w:pPr>
      <w:r>
        <w:separator/>
      </w:r>
    </w:p>
  </w:footnote>
  <w:footnote w:type="continuationSeparator" w:id="0">
    <w:p w14:paraId="00CC7143" w14:textId="77777777" w:rsidR="003F5D42" w:rsidRDefault="003F5D42">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F2C"/>
    <w:rsid w:val="00273E1A"/>
    <w:rsid w:val="003F5D42"/>
    <w:rsid w:val="00610F2C"/>
    <w:rsid w:val="007D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35C37DB-9476-724E-8CF8-E2EC6769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80" w:after="80"/>
      <w:outlineLvl w:val="0"/>
    </w:pPr>
    <w:rPr>
      <w:rFonts w:ascii="Malgun Gothic" w:eastAsia="Malgun Gothic" w:hAnsi="Malgun Gothic" w:cs="Malgun Gothic"/>
      <w:color w:val="000000"/>
      <w:sz w:val="32"/>
      <w:szCs w:val="32"/>
    </w:rPr>
  </w:style>
  <w:style w:type="paragraph" w:styleId="Heading2">
    <w:name w:val="heading 2"/>
    <w:basedOn w:val="Normal"/>
    <w:next w:val="Normal"/>
    <w:uiPriority w:val="9"/>
    <w:unhideWhenUsed/>
    <w:qFormat/>
    <w:pPr>
      <w:keepNext/>
      <w:keepLines/>
      <w:spacing w:before="160" w:after="80"/>
      <w:outlineLvl w:val="1"/>
    </w:pPr>
    <w:rPr>
      <w:rFonts w:ascii="Malgun Gothic" w:eastAsia="Malgun Gothic" w:hAnsi="Malgun Gothic" w:cs="Malgun Gothic"/>
      <w:color w:val="000000"/>
      <w:sz w:val="28"/>
      <w:szCs w:val="28"/>
    </w:rPr>
  </w:style>
  <w:style w:type="paragraph" w:styleId="Heading3">
    <w:name w:val="heading 3"/>
    <w:basedOn w:val="Normal"/>
    <w:next w:val="Normal"/>
    <w:uiPriority w:val="9"/>
    <w:unhideWhenUsed/>
    <w:qFormat/>
    <w:pPr>
      <w:keepNext/>
      <w:keepLines/>
      <w:spacing w:before="160" w:after="80"/>
      <w:outlineLvl w:val="2"/>
    </w:pPr>
    <w:rPr>
      <w:rFonts w:ascii="Malgun Gothic" w:eastAsia="Malgun Gothic" w:hAnsi="Malgun Gothic" w:cs="Malgun Gothic"/>
      <w:color w:val="000000"/>
      <w:sz w:val="24"/>
      <w:szCs w:val="24"/>
    </w:rPr>
  </w:style>
  <w:style w:type="paragraph" w:styleId="Heading4">
    <w:name w:val="heading 4"/>
    <w:basedOn w:val="Normal"/>
    <w:next w:val="Normal"/>
    <w:uiPriority w:val="9"/>
    <w:semiHidden/>
    <w:unhideWhenUsed/>
    <w:qFormat/>
    <w:pPr>
      <w:keepNext/>
      <w:keepLines/>
      <w:spacing w:before="80" w:after="40"/>
      <w:outlineLvl w:val="3"/>
    </w:pPr>
    <w:rPr>
      <w:rFonts w:ascii="Malgun Gothic" w:eastAsia="Malgun Gothic" w:hAnsi="Malgun Gothic" w:cs="Malgun Gothic"/>
      <w:color w:val="000000"/>
    </w:rPr>
  </w:style>
  <w:style w:type="paragraph" w:styleId="Heading5">
    <w:name w:val="heading 5"/>
    <w:basedOn w:val="Normal"/>
    <w:next w:val="Normal"/>
    <w:uiPriority w:val="9"/>
    <w:semiHidden/>
    <w:unhideWhenUsed/>
    <w:qFormat/>
    <w:pPr>
      <w:keepNext/>
      <w:keepLines/>
      <w:spacing w:before="80" w:after="40"/>
      <w:ind w:left="100"/>
      <w:outlineLvl w:val="4"/>
    </w:pPr>
    <w:rPr>
      <w:rFonts w:ascii="Malgun Gothic" w:eastAsia="Malgun Gothic" w:hAnsi="Malgun Gothic" w:cs="Malgun Gothic"/>
      <w:color w:val="000000"/>
    </w:rPr>
  </w:style>
  <w:style w:type="paragraph" w:styleId="Heading6">
    <w:name w:val="heading 6"/>
    <w:basedOn w:val="Normal"/>
    <w:next w:val="Normal"/>
    <w:uiPriority w:val="9"/>
    <w:semiHidden/>
    <w:unhideWhenUsed/>
    <w:qFormat/>
    <w:pPr>
      <w:keepNext/>
      <w:keepLines/>
      <w:spacing w:before="80" w:after="40"/>
      <w:ind w:left="200"/>
      <w:outlineLvl w:val="5"/>
    </w:pPr>
    <w:rPr>
      <w:rFonts w:ascii="Malgun Gothic" w:eastAsia="Malgun Gothic" w:hAnsi="Malgun Gothic" w:cs="Malgun Gothic"/>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jc w:val="center"/>
    </w:pPr>
    <w:rPr>
      <w:rFonts w:ascii="Malgun Gothic" w:eastAsia="Malgun Gothic" w:hAnsi="Malgun Gothic" w:cs="Malgun Gothic"/>
      <w:sz w:val="56"/>
      <w:szCs w:val="56"/>
    </w:rPr>
  </w:style>
  <w:style w:type="paragraph" w:styleId="Subtitle">
    <w:name w:val="Subtitle"/>
    <w:basedOn w:val="Normal"/>
    <w:next w:val="Normal"/>
    <w:uiPriority w:val="11"/>
    <w:qFormat/>
    <w:pPr>
      <w:jc w:val="center"/>
    </w:pPr>
    <w:rPr>
      <w:rFonts w:ascii="Malgun Gothic" w:eastAsia="Malgun Gothic" w:hAnsi="Malgun Gothic" w:cs="Malgun Gothic"/>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ta.oecd.org/pop/fertility-rates.ht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egrandnarrative.com/2013/02/15/korean-family-planning-ad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wy43XpACPl1pfJpZnVH+oMZnA==">CgMxLjAaFAoBMBIPCg0IB0IJEgdHdW5nc3VoGhQKATESDwoNCAdCCRIHR3VuZ3N1aDgAciExdW9ESHRRWGlJWUIxODU0Sjl6ZnZpX1VTV2V0b0ZmalA=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7160</Words>
  <Characters>30503</Characters>
  <Application>Microsoft Office Word</Application>
  <DocSecurity>0</DocSecurity>
  <Lines>564</Lines>
  <Paragraphs>110</Paragraphs>
  <ScaleCrop>false</ScaleCrop>
  <Company/>
  <LinksUpToDate>false</LinksUpToDate>
  <CharactersWithSpaces>37553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donald moss</cp:lastModifiedBy>
  <cp:revision>2</cp:revision>
  <dcterms:created xsi:type="dcterms:W3CDTF">2026-09-24T18:27:00Z</dcterms:created>
  <dcterms:modified xsi:type="dcterms:W3CDTF">2026-09-24T18:27:00Z</dcterms:modified>
</cp:coreProperties>
</file>